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3493" w14:textId="617BC2D2" w:rsidR="00922A2B" w:rsidRDefault="000F7D49" w:rsidP="00922A2B">
      <w:pPr>
        <w:spacing w:line="360" w:lineRule="auto"/>
        <w:jc w:val="center"/>
        <w:rPr>
          <w:lang w:val="en-US"/>
        </w:rPr>
      </w:pPr>
      <w:r>
        <w:rPr>
          <w:noProof/>
          <w:lang w:val="en-US"/>
        </w:rPr>
        <w:drawing>
          <wp:inline distT="0" distB="0" distL="0" distR="0" wp14:anchorId="63EDE7DA" wp14:editId="15029014">
            <wp:extent cx="2328975" cy="1112732"/>
            <wp:effectExtent l="0" t="0" r="0" b="5080"/>
            <wp:docPr id="36622135"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135" name="Picture 2"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759" cy="1171873"/>
                    </a:xfrm>
                    <a:prstGeom prst="rect">
                      <a:avLst/>
                    </a:prstGeom>
                  </pic:spPr>
                </pic:pic>
              </a:graphicData>
            </a:graphic>
          </wp:inline>
        </w:drawing>
      </w:r>
    </w:p>
    <w:p w14:paraId="363F88B8" w14:textId="77777777" w:rsidR="00922A2B" w:rsidRPr="00922A2B" w:rsidRDefault="00922A2B" w:rsidP="00922A2B">
      <w:pPr>
        <w:spacing w:line="360" w:lineRule="auto"/>
        <w:jc w:val="center"/>
        <w:rPr>
          <w:lang w:val="en-US"/>
        </w:rPr>
      </w:pPr>
    </w:p>
    <w:p w14:paraId="51A22D84" w14:textId="0AA221D4" w:rsidR="00922A2B" w:rsidRPr="00922A2B" w:rsidRDefault="005A0DB9" w:rsidP="00922A2B">
      <w:pPr>
        <w:spacing w:line="360" w:lineRule="auto"/>
        <w:jc w:val="center"/>
        <w:rPr>
          <w:lang w:val="en-US"/>
        </w:rPr>
      </w:pPr>
      <w:r>
        <w:rPr>
          <w:lang w:val="en-US"/>
        </w:rPr>
        <w:t>May</w:t>
      </w:r>
      <w:r w:rsidR="00922A2B">
        <w:rPr>
          <w:lang w:val="en-US"/>
        </w:rPr>
        <w:t xml:space="preserve"> </w:t>
      </w:r>
      <w:r w:rsidR="008E3714">
        <w:rPr>
          <w:lang w:val="en-US"/>
        </w:rPr>
        <w:t>29</w:t>
      </w:r>
      <w:r w:rsidR="00922A2B">
        <w:rPr>
          <w:lang w:val="en-US"/>
        </w:rPr>
        <w:t>, 202</w:t>
      </w:r>
      <w:r w:rsidR="009D4F6C">
        <w:rPr>
          <w:lang w:val="en-US"/>
        </w:rPr>
        <w:t>5</w:t>
      </w:r>
    </w:p>
    <w:p w14:paraId="678AD379" w14:textId="6838CDA7" w:rsidR="007E6574" w:rsidRPr="007E6574" w:rsidRDefault="008D76DB" w:rsidP="007E6574">
      <w:pPr>
        <w:spacing w:line="360" w:lineRule="auto"/>
        <w:rPr>
          <w:b/>
          <w:bCs/>
          <w:lang w:val="en-US"/>
        </w:rPr>
      </w:pPr>
      <w:r w:rsidRPr="008D76DB">
        <w:rPr>
          <w:b/>
          <w:bCs/>
          <w:noProof/>
          <w:lang w:val="en-US"/>
        </w:rPr>
        <w:pict w14:anchorId="689996DC">
          <v:rect id="_x0000_i1026" alt="" style="width:468pt;height:.05pt;mso-width-percent:0;mso-height-percent:0;mso-width-percent:0;mso-height-percent:0" o:hralign="center" o:hrstd="t" o:hr="t" fillcolor="#a0a0a0" stroked="f"/>
        </w:pict>
      </w:r>
    </w:p>
    <w:p w14:paraId="53DFC4AA" w14:textId="05620084" w:rsidR="007E6574" w:rsidRPr="007E6574" w:rsidRDefault="007E6574" w:rsidP="007E6574">
      <w:pPr>
        <w:spacing w:line="360" w:lineRule="auto"/>
        <w:rPr>
          <w:b/>
          <w:bCs/>
          <w:lang w:val="en-US"/>
        </w:rPr>
      </w:pPr>
      <w:r w:rsidRPr="007E6574">
        <w:rPr>
          <w:b/>
          <w:bCs/>
          <w:lang w:val="en-US"/>
        </w:rPr>
        <w:t>Economic Report: Insights into Today’s Housing Market</w:t>
      </w:r>
      <w:r w:rsidRPr="007E6574">
        <w:rPr>
          <w:b/>
          <w:bCs/>
          <w:lang w:val="en-US"/>
        </w:rPr>
        <w:br/>
      </w:r>
      <w:r w:rsidRPr="007E6574">
        <w:rPr>
          <w:b/>
          <w:bCs/>
          <w:i/>
          <w:iCs/>
          <w:lang w:val="en-US"/>
        </w:rPr>
        <w:t>Prepared by: Leslie Appleton Young, FMLS Market Intel</w:t>
      </w:r>
      <w:r w:rsidRPr="007E6574">
        <w:rPr>
          <w:b/>
          <w:bCs/>
          <w:lang w:val="en-US"/>
        </w:rPr>
        <w:br/>
      </w:r>
      <w:r w:rsidRPr="007E6574">
        <w:rPr>
          <w:b/>
          <w:bCs/>
          <w:i/>
          <w:iCs/>
          <w:lang w:val="en-US"/>
        </w:rPr>
        <w:t>Date: May</w:t>
      </w:r>
      <w:r w:rsidR="003447E0">
        <w:rPr>
          <w:b/>
          <w:bCs/>
          <w:i/>
          <w:iCs/>
          <w:lang w:val="en-US"/>
        </w:rPr>
        <w:t xml:space="preserve"> </w:t>
      </w:r>
      <w:r w:rsidR="008B4DB8">
        <w:rPr>
          <w:b/>
          <w:bCs/>
          <w:i/>
          <w:iCs/>
          <w:lang w:val="en-US"/>
        </w:rPr>
        <w:t>29</w:t>
      </w:r>
      <w:r w:rsidR="003447E0">
        <w:rPr>
          <w:b/>
          <w:bCs/>
          <w:i/>
          <w:iCs/>
          <w:lang w:val="en-US"/>
        </w:rPr>
        <w:t>,</w:t>
      </w:r>
      <w:r w:rsidRPr="007E6574">
        <w:rPr>
          <w:b/>
          <w:bCs/>
          <w:i/>
          <w:iCs/>
          <w:lang w:val="en-US"/>
        </w:rPr>
        <w:t xml:space="preserve"> 2025</w:t>
      </w:r>
    </w:p>
    <w:p w14:paraId="4A888353" w14:textId="77777777" w:rsidR="007E6574" w:rsidRPr="007E6574" w:rsidRDefault="008D76DB" w:rsidP="007E6574">
      <w:pPr>
        <w:spacing w:line="360" w:lineRule="auto"/>
        <w:rPr>
          <w:b/>
          <w:bCs/>
          <w:lang w:val="en-US"/>
        </w:rPr>
      </w:pPr>
      <w:r w:rsidRPr="008D76DB">
        <w:rPr>
          <w:b/>
          <w:bCs/>
          <w:noProof/>
          <w:lang w:val="en-US"/>
        </w:rPr>
        <w:pict w14:anchorId="673D66E9">
          <v:rect id="_x0000_i1025" alt="" style="width:468pt;height:.05pt;mso-width-percent:0;mso-height-percent:0;mso-width-percent:0;mso-height-percent:0" o:hralign="center" o:hrstd="t" o:hr="t" fillcolor="#a0a0a0" stroked="f"/>
        </w:pict>
      </w:r>
    </w:p>
    <w:p w14:paraId="7222F19F" w14:textId="77777777" w:rsidR="007E6574" w:rsidRPr="007E6574" w:rsidRDefault="007E6574" w:rsidP="007E6574">
      <w:pPr>
        <w:spacing w:line="360" w:lineRule="auto"/>
        <w:rPr>
          <w:b/>
          <w:bCs/>
          <w:lang w:val="en-US"/>
        </w:rPr>
      </w:pPr>
      <w:r w:rsidRPr="007E6574">
        <w:rPr>
          <w:b/>
          <w:bCs/>
          <w:lang w:val="en-US"/>
        </w:rPr>
        <w:t>Executive Summary</w:t>
      </w:r>
    </w:p>
    <w:p w14:paraId="487EDF54" w14:textId="77777777" w:rsidR="00532247" w:rsidRPr="00532247" w:rsidRDefault="00532247" w:rsidP="00532247">
      <w:pPr>
        <w:spacing w:line="360" w:lineRule="auto"/>
        <w:rPr>
          <w:lang w:val="en-US"/>
        </w:rPr>
      </w:pPr>
      <w:r w:rsidRPr="00532247">
        <w:rPr>
          <w:lang w:val="en-US"/>
        </w:rPr>
        <w:t>The economic environment remains characterized by considerable uncertainty, with strong headwinds impacting both consumer confidence and business investment decisions. Market sentiment across both Wall Street and Main Street reflects a growing inclination to delay major financial commitments, including hiring, capital expenditures, and home purchases.</w:t>
      </w:r>
    </w:p>
    <w:p w14:paraId="27E48E08" w14:textId="17F17A13" w:rsidR="007E6574" w:rsidRPr="007E6574" w:rsidRDefault="007E6574" w:rsidP="007E6574">
      <w:pPr>
        <w:spacing w:line="360" w:lineRule="auto"/>
        <w:rPr>
          <w:b/>
          <w:bCs/>
          <w:lang w:val="en-US"/>
        </w:rPr>
      </w:pPr>
    </w:p>
    <w:p w14:paraId="4F314934" w14:textId="77777777" w:rsidR="00624612" w:rsidRPr="00624612" w:rsidRDefault="00624612" w:rsidP="00624612">
      <w:pPr>
        <w:spacing w:line="360" w:lineRule="auto"/>
        <w:rPr>
          <w:b/>
          <w:bCs/>
          <w:i/>
          <w:iCs/>
          <w:lang w:val="en-US"/>
        </w:rPr>
      </w:pPr>
      <w:r w:rsidRPr="00624612">
        <w:rPr>
          <w:b/>
          <w:bCs/>
          <w:i/>
          <w:iCs/>
          <w:lang w:val="en-US"/>
        </w:rPr>
        <w:t>Consumer Spending Trends</w:t>
      </w:r>
    </w:p>
    <w:p w14:paraId="30D23EB6" w14:textId="77777777" w:rsidR="00624612" w:rsidRPr="00624612" w:rsidRDefault="00624612" w:rsidP="00624612">
      <w:pPr>
        <w:spacing w:line="360" w:lineRule="auto"/>
        <w:rPr>
          <w:i/>
          <w:iCs/>
          <w:lang w:val="en-US"/>
        </w:rPr>
      </w:pPr>
      <w:r w:rsidRPr="00624612">
        <w:rPr>
          <w:i/>
          <w:iCs/>
          <w:lang w:val="en-US"/>
        </w:rPr>
        <w:t>Consumer behavior in April mirrored this cautionary stance. Retail sales increased by just 0.1%, following a robust 1.7% rise in March. The earlier surge was largely attributed to accelerated consumer activity ahead of new tariffs. However, in April, signs of restraint in discretionary spending emerged, suggesting households are preparing for a more constrained financial future.</w:t>
      </w:r>
    </w:p>
    <w:p w14:paraId="0CBC9866" w14:textId="25E4E7E5" w:rsidR="00624612" w:rsidRPr="00624612" w:rsidRDefault="00624612" w:rsidP="00624612">
      <w:pPr>
        <w:spacing w:line="360" w:lineRule="auto"/>
        <w:rPr>
          <w:i/>
          <w:iCs/>
          <w:lang w:val="en-US"/>
        </w:rPr>
      </w:pPr>
    </w:p>
    <w:p w14:paraId="3A2F3116" w14:textId="77777777" w:rsidR="00624612" w:rsidRPr="00624612" w:rsidRDefault="00624612" w:rsidP="00624612">
      <w:pPr>
        <w:spacing w:line="360" w:lineRule="auto"/>
        <w:rPr>
          <w:b/>
          <w:bCs/>
          <w:i/>
          <w:iCs/>
          <w:lang w:val="en-US"/>
        </w:rPr>
      </w:pPr>
      <w:r w:rsidRPr="00624612">
        <w:rPr>
          <w:b/>
          <w:bCs/>
          <w:i/>
          <w:iCs/>
          <w:lang w:val="en-US"/>
        </w:rPr>
        <w:t>Housing Market Snapshot</w:t>
      </w:r>
    </w:p>
    <w:p w14:paraId="3F7ADD07" w14:textId="77777777" w:rsidR="00624612" w:rsidRPr="00624612" w:rsidRDefault="00624612" w:rsidP="00624612">
      <w:pPr>
        <w:spacing w:line="360" w:lineRule="auto"/>
        <w:rPr>
          <w:i/>
          <w:iCs/>
          <w:lang w:val="en-US"/>
        </w:rPr>
      </w:pPr>
      <w:r w:rsidRPr="00624612">
        <w:rPr>
          <w:i/>
          <w:iCs/>
          <w:lang w:val="en-US"/>
        </w:rPr>
        <w:t>The housing sector is directly reflecting broader economic hesitations. According to the National Association of Realtors (NAR), existing-home sales fell to an annualized rate of 4.0 million units in April, marking the lowest April figure since 2009. This represents a 2.0% decline year-over-year and a 0.5% decrease from March — the second consecutive month of slowing sales during what is typically the peak spring homebuying season.</w:t>
      </w:r>
    </w:p>
    <w:p w14:paraId="38216BEC" w14:textId="77777777" w:rsidR="00693215" w:rsidRDefault="00693215" w:rsidP="00624612">
      <w:pPr>
        <w:spacing w:line="360" w:lineRule="auto"/>
        <w:rPr>
          <w:i/>
          <w:iCs/>
          <w:lang w:val="en-US"/>
        </w:rPr>
      </w:pPr>
    </w:p>
    <w:p w14:paraId="6E8518ED" w14:textId="1BB2DEFE" w:rsidR="00624612" w:rsidRPr="00624612" w:rsidRDefault="00624612" w:rsidP="00624612">
      <w:pPr>
        <w:spacing w:line="360" w:lineRule="auto"/>
        <w:rPr>
          <w:b/>
          <w:bCs/>
          <w:i/>
          <w:iCs/>
          <w:lang w:val="en-US"/>
        </w:rPr>
      </w:pPr>
      <w:r w:rsidRPr="00624612">
        <w:rPr>
          <w:b/>
          <w:bCs/>
          <w:i/>
          <w:iCs/>
          <w:lang w:val="en-US"/>
        </w:rPr>
        <w:t>Inventory Trends</w:t>
      </w:r>
    </w:p>
    <w:p w14:paraId="031A36C2" w14:textId="77777777" w:rsidR="00624612" w:rsidRPr="00624612" w:rsidRDefault="00624612" w:rsidP="00624612">
      <w:pPr>
        <w:spacing w:line="360" w:lineRule="auto"/>
        <w:rPr>
          <w:i/>
          <w:iCs/>
          <w:lang w:val="en-US"/>
        </w:rPr>
      </w:pPr>
      <w:r w:rsidRPr="00624612">
        <w:rPr>
          <w:i/>
          <w:iCs/>
          <w:lang w:val="en-US"/>
        </w:rPr>
        <w:lastRenderedPageBreak/>
        <w:t>Despite subdued sales, housing inventory continues to expand. As of April, there were 1.45 million active listings, a 9% increase over March and 33% above April 2024 levels. The current supply of homes stands at 4.4 months, a milestone not seen since May 2020. Several markets are now operating at or above pre-pandemic inventory levels, indicating a shift toward what can be described as a more balanced market.</w:t>
      </w:r>
    </w:p>
    <w:p w14:paraId="1FB3714B" w14:textId="13024C27" w:rsidR="00624612" w:rsidRPr="00624612" w:rsidRDefault="00624612" w:rsidP="00624612">
      <w:pPr>
        <w:spacing w:line="360" w:lineRule="auto"/>
        <w:rPr>
          <w:i/>
          <w:iCs/>
          <w:lang w:val="en-US"/>
        </w:rPr>
      </w:pPr>
    </w:p>
    <w:p w14:paraId="420E024C" w14:textId="77777777" w:rsidR="00624612" w:rsidRPr="00624612" w:rsidRDefault="00624612" w:rsidP="00624612">
      <w:pPr>
        <w:spacing w:line="360" w:lineRule="auto"/>
        <w:rPr>
          <w:b/>
          <w:bCs/>
          <w:i/>
          <w:iCs/>
          <w:lang w:val="en-US"/>
        </w:rPr>
      </w:pPr>
      <w:r w:rsidRPr="00624612">
        <w:rPr>
          <w:b/>
          <w:bCs/>
          <w:i/>
          <w:iCs/>
          <w:lang w:val="en-US"/>
        </w:rPr>
        <w:t>Home Prices and Market Resilience</w:t>
      </w:r>
    </w:p>
    <w:p w14:paraId="2E7AE2FF" w14:textId="77777777" w:rsidR="00624612" w:rsidRDefault="00624612" w:rsidP="00624612">
      <w:pPr>
        <w:spacing w:line="360" w:lineRule="auto"/>
        <w:rPr>
          <w:i/>
          <w:iCs/>
          <w:lang w:val="en-US"/>
        </w:rPr>
      </w:pPr>
      <w:r w:rsidRPr="00624612">
        <w:rPr>
          <w:i/>
          <w:iCs/>
          <w:lang w:val="en-US"/>
        </w:rPr>
        <w:t>Notably, price growth has yet to abate. The median home price reached $414,000 in April, representing the 22nd consecutive month of year-over-year gains. NAR Chief Economist Lawrence Yun commented:</w:t>
      </w:r>
    </w:p>
    <w:p w14:paraId="02A63716" w14:textId="77777777" w:rsidR="00624612" w:rsidRPr="00624612" w:rsidRDefault="00624612" w:rsidP="00624612">
      <w:pPr>
        <w:spacing w:line="360" w:lineRule="auto"/>
        <w:rPr>
          <w:i/>
          <w:iCs/>
          <w:lang w:val="en-US"/>
        </w:rPr>
      </w:pPr>
    </w:p>
    <w:p w14:paraId="3B630BC1" w14:textId="77777777" w:rsidR="00624612" w:rsidRPr="00624612" w:rsidRDefault="00624612" w:rsidP="00624612">
      <w:pPr>
        <w:spacing w:line="360" w:lineRule="auto"/>
        <w:rPr>
          <w:i/>
          <w:iCs/>
          <w:lang w:val="en-US"/>
        </w:rPr>
      </w:pPr>
      <w:r w:rsidRPr="00624612">
        <w:rPr>
          <w:i/>
          <w:iCs/>
          <w:lang w:val="en-US"/>
        </w:rPr>
        <w:t>“Home sales have been at 75% of normal or pre-pandemic activity for the past three years, even with seven million jobs added to the economy. Pent-up housing demand continues to grow, though not realized. Any meaningful decline in mortgage rates will help release this demand.”</w:t>
      </w:r>
    </w:p>
    <w:p w14:paraId="61C6D104" w14:textId="3D777EB9" w:rsidR="00624612" w:rsidRPr="00624612" w:rsidRDefault="00624612" w:rsidP="00624612">
      <w:pPr>
        <w:spacing w:line="360" w:lineRule="auto"/>
        <w:rPr>
          <w:i/>
          <w:iCs/>
          <w:lang w:val="en-US"/>
        </w:rPr>
      </w:pPr>
    </w:p>
    <w:p w14:paraId="6BA9B04A" w14:textId="3B117605" w:rsidR="000642B4" w:rsidRPr="00624612" w:rsidRDefault="00624612" w:rsidP="00624612">
      <w:pPr>
        <w:spacing w:line="360" w:lineRule="auto"/>
        <w:rPr>
          <w:b/>
          <w:bCs/>
          <w:i/>
          <w:iCs/>
          <w:lang w:val="en-US"/>
        </w:rPr>
      </w:pPr>
      <w:r w:rsidRPr="00624612">
        <w:rPr>
          <w:b/>
          <w:bCs/>
          <w:i/>
          <w:iCs/>
          <w:lang w:val="en-US"/>
        </w:rPr>
        <w:t>Interest Rates and Credit Market Volatility</w:t>
      </w:r>
    </w:p>
    <w:p w14:paraId="6AA1ECD9" w14:textId="77777777" w:rsidR="00624612" w:rsidRDefault="00624612" w:rsidP="00624612">
      <w:pPr>
        <w:spacing w:line="360" w:lineRule="auto"/>
        <w:rPr>
          <w:i/>
          <w:iCs/>
          <w:lang w:val="en-US"/>
        </w:rPr>
      </w:pPr>
      <w:r w:rsidRPr="00624612">
        <w:rPr>
          <w:i/>
          <w:iCs/>
          <w:lang w:val="en-US"/>
        </w:rPr>
        <w:t>Unfortunately, mortgage rates remain elevated. The average 30-year fixed rate reached 6.86%, rising 25 basis points over the past month. This spike was partly fueled by the May 16 announcement from Moody’s, which downgraded the U.S. credit outlook. The agency cited concerns over long-term fiscal sustainability, stating:</w:t>
      </w:r>
    </w:p>
    <w:p w14:paraId="4488E3B8" w14:textId="77777777" w:rsidR="000642B4" w:rsidRPr="00624612" w:rsidRDefault="000642B4" w:rsidP="00624612">
      <w:pPr>
        <w:spacing w:line="360" w:lineRule="auto"/>
        <w:rPr>
          <w:i/>
          <w:iCs/>
          <w:lang w:val="en-US"/>
        </w:rPr>
      </w:pPr>
    </w:p>
    <w:p w14:paraId="61082502" w14:textId="77777777" w:rsidR="00624612" w:rsidRDefault="00624612" w:rsidP="00624612">
      <w:pPr>
        <w:spacing w:line="360" w:lineRule="auto"/>
        <w:rPr>
          <w:i/>
          <w:iCs/>
          <w:lang w:val="en-US"/>
        </w:rPr>
      </w:pPr>
      <w:r w:rsidRPr="00624612">
        <w:rPr>
          <w:i/>
          <w:iCs/>
          <w:lang w:val="en-US"/>
        </w:rPr>
        <w:t xml:space="preserve">“Over the next decade, we expect larger deficits as entitlement spending rises while government revenue remains broadly flat. The U.S.’s fiscal performance is likely to deteriorate relative to its own past and compared to other </w:t>
      </w:r>
      <w:proofErr w:type="gramStart"/>
      <w:r w:rsidRPr="00624612">
        <w:rPr>
          <w:i/>
          <w:iCs/>
          <w:lang w:val="en-US"/>
        </w:rPr>
        <w:t>highly-rated</w:t>
      </w:r>
      <w:proofErr w:type="gramEnd"/>
      <w:r w:rsidRPr="00624612">
        <w:rPr>
          <w:i/>
          <w:iCs/>
          <w:lang w:val="en-US"/>
        </w:rPr>
        <w:t xml:space="preserve"> sovereigns.”</w:t>
      </w:r>
    </w:p>
    <w:p w14:paraId="335D145A" w14:textId="77777777" w:rsidR="000642B4" w:rsidRPr="00624612" w:rsidRDefault="000642B4" w:rsidP="00624612">
      <w:pPr>
        <w:spacing w:line="360" w:lineRule="auto"/>
        <w:rPr>
          <w:i/>
          <w:iCs/>
          <w:lang w:val="en-US"/>
        </w:rPr>
      </w:pPr>
    </w:p>
    <w:p w14:paraId="1080B850" w14:textId="77777777" w:rsidR="00624612" w:rsidRDefault="00624612" w:rsidP="00624612">
      <w:pPr>
        <w:spacing w:line="360" w:lineRule="auto"/>
        <w:rPr>
          <w:i/>
          <w:iCs/>
          <w:lang w:val="en-US"/>
        </w:rPr>
      </w:pPr>
      <w:r w:rsidRPr="00624612">
        <w:rPr>
          <w:i/>
          <w:iCs/>
          <w:lang w:val="en-US"/>
        </w:rPr>
        <w:t>As investors demanded higher yields on government debt, the 10-year Treasury yield increased, pushing up mortgage rates and further dampening buyer activity. The Mortgage Bankers Association reported a 5% decline in both new purchase and refinance mortgage applications in the most recent weekly data.</w:t>
      </w:r>
    </w:p>
    <w:p w14:paraId="0FC5D923" w14:textId="77777777" w:rsidR="009810FD" w:rsidRDefault="009810FD" w:rsidP="00624612">
      <w:pPr>
        <w:spacing w:line="360" w:lineRule="auto"/>
        <w:rPr>
          <w:i/>
          <w:iCs/>
          <w:lang w:val="en-US"/>
        </w:rPr>
      </w:pPr>
    </w:p>
    <w:p w14:paraId="7E65E8D8" w14:textId="2C45614A" w:rsidR="009810FD" w:rsidRPr="009810FD" w:rsidRDefault="00624612" w:rsidP="00624612">
      <w:pPr>
        <w:spacing w:line="360" w:lineRule="auto"/>
        <w:rPr>
          <w:i/>
          <w:iCs/>
          <w:lang w:val="en-US"/>
        </w:rPr>
      </w:pPr>
      <w:r w:rsidRPr="00624612">
        <w:rPr>
          <w:b/>
          <w:bCs/>
          <w:i/>
          <w:iCs/>
          <w:lang w:val="en-US"/>
        </w:rPr>
        <w:t>Looking Ahead</w:t>
      </w:r>
    </w:p>
    <w:p w14:paraId="78E1620A" w14:textId="4F796008" w:rsidR="00624612" w:rsidRPr="00624612" w:rsidRDefault="00624612" w:rsidP="00624612">
      <w:pPr>
        <w:spacing w:line="360" w:lineRule="auto"/>
        <w:rPr>
          <w:b/>
          <w:bCs/>
          <w:i/>
          <w:iCs/>
          <w:lang w:val="en-US"/>
        </w:rPr>
      </w:pPr>
      <w:r w:rsidRPr="00624612">
        <w:rPr>
          <w:i/>
          <w:iCs/>
          <w:lang w:val="en-US"/>
        </w:rPr>
        <w:lastRenderedPageBreak/>
        <w:t>March’s pending home sales data offered a temporary bright spot, showing a 6.1% monthly increase — particularly strong in the Southern region. However, the impact of new tariffs and rising borrowing costs will be key variables in assessing future transaction volumes.</w:t>
      </w:r>
    </w:p>
    <w:p w14:paraId="797B0753" w14:textId="63535EB6" w:rsidR="00624612" w:rsidRPr="00624612" w:rsidRDefault="00624612" w:rsidP="00624612">
      <w:pPr>
        <w:spacing w:line="360" w:lineRule="auto"/>
        <w:rPr>
          <w:i/>
          <w:iCs/>
          <w:lang w:val="en-US"/>
        </w:rPr>
      </w:pPr>
    </w:p>
    <w:p w14:paraId="7FD4F85B" w14:textId="087C6B98" w:rsidR="00624612" w:rsidRPr="00624612" w:rsidRDefault="00624612" w:rsidP="00624612">
      <w:pPr>
        <w:spacing w:line="360" w:lineRule="auto"/>
        <w:rPr>
          <w:b/>
          <w:bCs/>
          <w:i/>
          <w:iCs/>
          <w:lang w:val="en-US"/>
        </w:rPr>
      </w:pPr>
      <w:r w:rsidRPr="00624612">
        <w:rPr>
          <w:b/>
          <w:bCs/>
          <w:i/>
          <w:iCs/>
          <w:lang w:val="en-US"/>
        </w:rPr>
        <w:t xml:space="preserve">Opportunities </w:t>
      </w:r>
      <w:r w:rsidR="00B641B7">
        <w:rPr>
          <w:b/>
          <w:bCs/>
          <w:i/>
          <w:iCs/>
          <w:lang w:val="en-US"/>
        </w:rPr>
        <w:t xml:space="preserve">You Have </w:t>
      </w:r>
      <w:proofErr w:type="gramStart"/>
      <w:r w:rsidR="00B641B7">
        <w:rPr>
          <w:b/>
          <w:bCs/>
          <w:i/>
          <w:iCs/>
          <w:lang w:val="en-US"/>
        </w:rPr>
        <w:t>In</w:t>
      </w:r>
      <w:proofErr w:type="gramEnd"/>
      <w:r w:rsidR="00B641B7">
        <w:rPr>
          <w:b/>
          <w:bCs/>
          <w:i/>
          <w:iCs/>
          <w:lang w:val="en-US"/>
        </w:rPr>
        <w:t xml:space="preserve"> This </w:t>
      </w:r>
      <w:r w:rsidRPr="00624612">
        <w:rPr>
          <w:b/>
          <w:bCs/>
          <w:i/>
          <w:iCs/>
          <w:lang w:val="en-US"/>
        </w:rPr>
        <w:t>Market</w:t>
      </w:r>
    </w:p>
    <w:p w14:paraId="2848A8FB" w14:textId="77777777" w:rsidR="00624612" w:rsidRPr="00624612" w:rsidRDefault="00624612" w:rsidP="00624612">
      <w:pPr>
        <w:spacing w:line="360" w:lineRule="auto"/>
        <w:rPr>
          <w:i/>
          <w:iCs/>
          <w:lang w:val="en-US"/>
        </w:rPr>
      </w:pPr>
      <w:r w:rsidRPr="00624612">
        <w:rPr>
          <w:i/>
          <w:iCs/>
          <w:lang w:val="en-US"/>
        </w:rPr>
        <w:t>While market volatility can be challenging, it also presents opportunities. As noted by Realtor.com, a slower housing market may reduce stress for active buyers, who now face increased inventory, less price volatility, and fewer bidding wars — all factors that may improve affordability and accessibility for qualified buyers.</w:t>
      </w:r>
    </w:p>
    <w:p w14:paraId="06876AA5" w14:textId="10655B9D" w:rsidR="00624612" w:rsidRPr="00624612" w:rsidRDefault="00624612" w:rsidP="00624612">
      <w:pPr>
        <w:spacing w:line="360" w:lineRule="auto"/>
        <w:rPr>
          <w:i/>
          <w:iCs/>
          <w:lang w:val="en-US"/>
        </w:rPr>
      </w:pPr>
    </w:p>
    <w:p w14:paraId="37A83453" w14:textId="7D00FF76" w:rsidR="00624612" w:rsidRDefault="00624612" w:rsidP="00624612">
      <w:pPr>
        <w:spacing w:line="360" w:lineRule="auto"/>
        <w:rPr>
          <w:i/>
          <w:iCs/>
          <w:lang w:val="en-US"/>
        </w:rPr>
      </w:pPr>
      <w:r w:rsidRPr="00624612">
        <w:rPr>
          <w:i/>
          <w:iCs/>
          <w:lang w:val="en-US"/>
        </w:rPr>
        <w:t>For ongoing updates, including weekly statistics and local market insights, visit the F</w:t>
      </w:r>
      <w:r w:rsidR="003C7A9B">
        <w:rPr>
          <w:i/>
          <w:iCs/>
          <w:lang w:val="en-US"/>
        </w:rPr>
        <w:t>irstmls.com/intel</w:t>
      </w:r>
      <w:r w:rsidR="00B3724F">
        <w:rPr>
          <w:i/>
          <w:iCs/>
          <w:lang w:val="en-US"/>
        </w:rPr>
        <w:t>.</w:t>
      </w:r>
      <w:r w:rsidRPr="00624612">
        <w:rPr>
          <w:i/>
          <w:iCs/>
          <w:lang w:val="en-US"/>
        </w:rPr>
        <w:t xml:space="preserve"> </w:t>
      </w:r>
      <w:proofErr w:type="gramStart"/>
      <w:r w:rsidRPr="00624612">
        <w:rPr>
          <w:i/>
          <w:iCs/>
          <w:lang w:val="en-US"/>
        </w:rPr>
        <w:t>As</w:t>
      </w:r>
      <w:proofErr w:type="gramEnd"/>
      <w:r w:rsidRPr="00624612">
        <w:rPr>
          <w:i/>
          <w:iCs/>
          <w:lang w:val="en-US"/>
        </w:rPr>
        <w:t xml:space="preserve"> always, we’re committed to helping our members navigate the evolving real estate landscape with clarity and confidence.</w:t>
      </w:r>
    </w:p>
    <w:p w14:paraId="39B878AC" w14:textId="77777777" w:rsidR="009810FD" w:rsidRPr="00624612" w:rsidRDefault="009810FD" w:rsidP="00624612">
      <w:pPr>
        <w:spacing w:line="360" w:lineRule="auto"/>
        <w:rPr>
          <w:i/>
          <w:iCs/>
          <w:lang w:val="en-US"/>
        </w:rPr>
      </w:pPr>
    </w:p>
    <w:p w14:paraId="4AEC2F91" w14:textId="77777777" w:rsidR="00624612" w:rsidRPr="00624612" w:rsidRDefault="00624612" w:rsidP="00624612">
      <w:pPr>
        <w:spacing w:line="360" w:lineRule="auto"/>
        <w:rPr>
          <w:i/>
          <w:iCs/>
          <w:lang w:val="en-US"/>
        </w:rPr>
      </w:pPr>
      <w:r w:rsidRPr="00624612">
        <w:rPr>
          <w:i/>
          <w:iCs/>
          <w:lang w:val="en-US"/>
        </w:rPr>
        <w:t>For FMLS Market Intel, this is Leslie Appleton Young, Chief Economist.</w:t>
      </w:r>
    </w:p>
    <w:p w14:paraId="55E8D650" w14:textId="68F0321E" w:rsidR="009376FD" w:rsidRPr="009376FD" w:rsidRDefault="009376FD" w:rsidP="00D31972">
      <w:pPr>
        <w:spacing w:line="360" w:lineRule="auto"/>
        <w:rPr>
          <w:b/>
          <w:bCs/>
          <w:lang w:val="en-US"/>
        </w:rPr>
      </w:pPr>
    </w:p>
    <w:p w14:paraId="6A960F43" w14:textId="0B27C9A5" w:rsidR="00D31972" w:rsidRPr="00D31972" w:rsidRDefault="00D31972" w:rsidP="00D31972">
      <w:pPr>
        <w:spacing w:line="360" w:lineRule="auto"/>
        <w:rPr>
          <w:lang w:val="en-US"/>
        </w:rPr>
      </w:pPr>
      <w:r w:rsidRPr="00D31972">
        <w:rPr>
          <w:b/>
          <w:bCs/>
          <w:lang w:val="en-US"/>
        </w:rPr>
        <w:t>This has been your Market Intel update</w:t>
      </w:r>
      <w:r w:rsidR="005B37A5">
        <w:rPr>
          <w:b/>
          <w:bCs/>
          <w:lang w:val="en-US"/>
        </w:rPr>
        <w:t xml:space="preserve">. </w:t>
      </w:r>
      <w:r w:rsidRPr="00D31972">
        <w:rPr>
          <w:b/>
          <w:bCs/>
          <w:lang w:val="en-US"/>
        </w:rPr>
        <w:t>See you next time.</w:t>
      </w:r>
    </w:p>
    <w:p w14:paraId="62CA1E7A" w14:textId="77777777" w:rsidR="001A2405" w:rsidRDefault="001A2405" w:rsidP="00615BAB">
      <w:pPr>
        <w:spacing w:line="360" w:lineRule="auto"/>
        <w:rPr>
          <w:lang w:val="en-US"/>
        </w:rPr>
      </w:pPr>
    </w:p>
    <w:p w14:paraId="4613DAE2" w14:textId="0D23A3CB" w:rsidR="00922A2B" w:rsidRPr="00922A2B" w:rsidRDefault="00922A2B" w:rsidP="00922A2B">
      <w:pPr>
        <w:spacing w:line="360" w:lineRule="auto"/>
        <w:rPr>
          <w:lang w:val="en-US"/>
        </w:rPr>
      </w:pPr>
    </w:p>
    <w:p w14:paraId="00000016" w14:textId="77777777" w:rsidR="00E05160" w:rsidRDefault="00E05160" w:rsidP="00F65ACF">
      <w:pPr>
        <w:spacing w:line="360" w:lineRule="auto"/>
      </w:pPr>
    </w:p>
    <w:p w14:paraId="00000017" w14:textId="77777777" w:rsidR="00E05160" w:rsidRDefault="00E05160" w:rsidP="00F65ACF">
      <w:pPr>
        <w:spacing w:line="360" w:lineRule="auto"/>
      </w:pPr>
    </w:p>
    <w:p w14:paraId="00000018" w14:textId="77777777" w:rsidR="00E05160" w:rsidRDefault="00E05160" w:rsidP="00F65ACF">
      <w:pPr>
        <w:spacing w:line="360" w:lineRule="auto"/>
      </w:pPr>
    </w:p>
    <w:p w14:paraId="00000019" w14:textId="77777777" w:rsidR="00E05160" w:rsidRDefault="00E05160" w:rsidP="00F65ACF">
      <w:pPr>
        <w:spacing w:line="360" w:lineRule="auto"/>
      </w:pPr>
    </w:p>
    <w:p w14:paraId="0000001A" w14:textId="77777777" w:rsidR="00E05160" w:rsidRDefault="00E05160" w:rsidP="00F65ACF">
      <w:pPr>
        <w:spacing w:line="360" w:lineRule="auto"/>
      </w:pPr>
    </w:p>
    <w:sectPr w:rsidR="00E0516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32D3" w14:textId="77777777" w:rsidR="008D76DB" w:rsidRDefault="008D76DB" w:rsidP="00922A2B">
      <w:pPr>
        <w:spacing w:line="240" w:lineRule="auto"/>
      </w:pPr>
      <w:r>
        <w:separator/>
      </w:r>
    </w:p>
  </w:endnote>
  <w:endnote w:type="continuationSeparator" w:id="0">
    <w:p w14:paraId="234C6B31" w14:textId="77777777" w:rsidR="008D76DB" w:rsidRDefault="008D76DB" w:rsidP="00922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FF7E" w14:textId="77777777" w:rsidR="008D76DB" w:rsidRDefault="008D76DB" w:rsidP="00922A2B">
      <w:pPr>
        <w:spacing w:line="240" w:lineRule="auto"/>
      </w:pPr>
      <w:r>
        <w:separator/>
      </w:r>
    </w:p>
  </w:footnote>
  <w:footnote w:type="continuationSeparator" w:id="0">
    <w:p w14:paraId="308A0237" w14:textId="77777777" w:rsidR="008D76DB" w:rsidRDefault="008D76DB" w:rsidP="00922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D55"/>
    <w:multiLevelType w:val="multilevel"/>
    <w:tmpl w:val="DBB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16737"/>
    <w:multiLevelType w:val="multilevel"/>
    <w:tmpl w:val="E8A6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279BD"/>
    <w:multiLevelType w:val="multilevel"/>
    <w:tmpl w:val="35CC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262E4"/>
    <w:multiLevelType w:val="multilevel"/>
    <w:tmpl w:val="34E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24230"/>
    <w:multiLevelType w:val="multilevel"/>
    <w:tmpl w:val="D91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D2C1F"/>
    <w:multiLevelType w:val="multilevel"/>
    <w:tmpl w:val="B344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222BA"/>
    <w:multiLevelType w:val="multilevel"/>
    <w:tmpl w:val="DA44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82B07"/>
    <w:multiLevelType w:val="multilevel"/>
    <w:tmpl w:val="D2709C8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2B440E77"/>
    <w:multiLevelType w:val="multilevel"/>
    <w:tmpl w:val="54C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D48E2"/>
    <w:multiLevelType w:val="multilevel"/>
    <w:tmpl w:val="90A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06CB3"/>
    <w:multiLevelType w:val="multilevel"/>
    <w:tmpl w:val="A530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95944"/>
    <w:multiLevelType w:val="multilevel"/>
    <w:tmpl w:val="B15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C0959"/>
    <w:multiLevelType w:val="multilevel"/>
    <w:tmpl w:val="AEB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D1677"/>
    <w:multiLevelType w:val="multilevel"/>
    <w:tmpl w:val="343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A1879"/>
    <w:multiLevelType w:val="multilevel"/>
    <w:tmpl w:val="33C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23AE6"/>
    <w:multiLevelType w:val="multilevel"/>
    <w:tmpl w:val="AEE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50796"/>
    <w:multiLevelType w:val="multilevel"/>
    <w:tmpl w:val="65C6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D1749"/>
    <w:multiLevelType w:val="multilevel"/>
    <w:tmpl w:val="F148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66FB3"/>
    <w:multiLevelType w:val="multilevel"/>
    <w:tmpl w:val="C82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F2B5C"/>
    <w:multiLevelType w:val="multilevel"/>
    <w:tmpl w:val="349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4064E0"/>
    <w:multiLevelType w:val="multilevel"/>
    <w:tmpl w:val="491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814023"/>
    <w:multiLevelType w:val="multilevel"/>
    <w:tmpl w:val="8312B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068118">
    <w:abstractNumId w:val="10"/>
  </w:num>
  <w:num w:numId="2" w16cid:durableId="1070619644">
    <w:abstractNumId w:val="8"/>
  </w:num>
  <w:num w:numId="3" w16cid:durableId="502085978">
    <w:abstractNumId w:val="12"/>
  </w:num>
  <w:num w:numId="4" w16cid:durableId="29694018">
    <w:abstractNumId w:val="20"/>
  </w:num>
  <w:num w:numId="5" w16cid:durableId="1912275878">
    <w:abstractNumId w:val="15"/>
  </w:num>
  <w:num w:numId="6" w16cid:durableId="546526850">
    <w:abstractNumId w:val="2"/>
  </w:num>
  <w:num w:numId="7" w16cid:durableId="816187804">
    <w:abstractNumId w:val="21"/>
  </w:num>
  <w:num w:numId="8" w16cid:durableId="30814078">
    <w:abstractNumId w:val="19"/>
  </w:num>
  <w:num w:numId="9" w16cid:durableId="1033725545">
    <w:abstractNumId w:val="4"/>
  </w:num>
  <w:num w:numId="10" w16cid:durableId="892303162">
    <w:abstractNumId w:val="7"/>
  </w:num>
  <w:num w:numId="11" w16cid:durableId="1231622416">
    <w:abstractNumId w:val="14"/>
  </w:num>
  <w:num w:numId="12" w16cid:durableId="1215655984">
    <w:abstractNumId w:val="11"/>
  </w:num>
  <w:num w:numId="13" w16cid:durableId="377122985">
    <w:abstractNumId w:val="5"/>
  </w:num>
  <w:num w:numId="14" w16cid:durableId="388385613">
    <w:abstractNumId w:val="3"/>
  </w:num>
  <w:num w:numId="15" w16cid:durableId="209388184">
    <w:abstractNumId w:val="16"/>
  </w:num>
  <w:num w:numId="16" w16cid:durableId="1106731256">
    <w:abstractNumId w:val="9"/>
  </w:num>
  <w:num w:numId="17" w16cid:durableId="411899581">
    <w:abstractNumId w:val="13"/>
  </w:num>
  <w:num w:numId="18" w16cid:durableId="2019771815">
    <w:abstractNumId w:val="1"/>
  </w:num>
  <w:num w:numId="19" w16cid:durableId="1066337872">
    <w:abstractNumId w:val="18"/>
  </w:num>
  <w:num w:numId="20" w16cid:durableId="42605532">
    <w:abstractNumId w:val="17"/>
  </w:num>
  <w:num w:numId="21" w16cid:durableId="1590117394">
    <w:abstractNumId w:val="0"/>
  </w:num>
  <w:num w:numId="22" w16cid:durableId="1351877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60"/>
    <w:rsid w:val="0000794B"/>
    <w:rsid w:val="000175C2"/>
    <w:rsid w:val="00037DED"/>
    <w:rsid w:val="00055C13"/>
    <w:rsid w:val="000642B4"/>
    <w:rsid w:val="0007265C"/>
    <w:rsid w:val="0008562E"/>
    <w:rsid w:val="000A5F68"/>
    <w:rsid w:val="000F45E9"/>
    <w:rsid w:val="000F7D49"/>
    <w:rsid w:val="00101103"/>
    <w:rsid w:val="001344A4"/>
    <w:rsid w:val="001A2405"/>
    <w:rsid w:val="001A531B"/>
    <w:rsid w:val="001B093F"/>
    <w:rsid w:val="001D5AEC"/>
    <w:rsid w:val="002C05C5"/>
    <w:rsid w:val="002E3A53"/>
    <w:rsid w:val="00327533"/>
    <w:rsid w:val="003365E6"/>
    <w:rsid w:val="003447E0"/>
    <w:rsid w:val="003C5EFA"/>
    <w:rsid w:val="003C7A9B"/>
    <w:rsid w:val="00401117"/>
    <w:rsid w:val="0049646D"/>
    <w:rsid w:val="004E0136"/>
    <w:rsid w:val="00512D2E"/>
    <w:rsid w:val="00532247"/>
    <w:rsid w:val="005A0DB9"/>
    <w:rsid w:val="005B37A5"/>
    <w:rsid w:val="00615BAB"/>
    <w:rsid w:val="00624612"/>
    <w:rsid w:val="00693215"/>
    <w:rsid w:val="006C24A9"/>
    <w:rsid w:val="006C4168"/>
    <w:rsid w:val="006C7AF8"/>
    <w:rsid w:val="007E6574"/>
    <w:rsid w:val="007F49DD"/>
    <w:rsid w:val="008A6493"/>
    <w:rsid w:val="008B4DB8"/>
    <w:rsid w:val="008D76DB"/>
    <w:rsid w:val="008E3714"/>
    <w:rsid w:val="00922A2B"/>
    <w:rsid w:val="009336A7"/>
    <w:rsid w:val="009376FD"/>
    <w:rsid w:val="009626D1"/>
    <w:rsid w:val="009810FD"/>
    <w:rsid w:val="009D4F6C"/>
    <w:rsid w:val="00A142EA"/>
    <w:rsid w:val="00AC645E"/>
    <w:rsid w:val="00B01D81"/>
    <w:rsid w:val="00B3724F"/>
    <w:rsid w:val="00B40110"/>
    <w:rsid w:val="00B578E6"/>
    <w:rsid w:val="00B641B7"/>
    <w:rsid w:val="00BC74AB"/>
    <w:rsid w:val="00BD534C"/>
    <w:rsid w:val="00C21649"/>
    <w:rsid w:val="00C30A33"/>
    <w:rsid w:val="00C3799D"/>
    <w:rsid w:val="00C757E8"/>
    <w:rsid w:val="00D24CA0"/>
    <w:rsid w:val="00D31972"/>
    <w:rsid w:val="00D347D4"/>
    <w:rsid w:val="00D5401F"/>
    <w:rsid w:val="00D8157F"/>
    <w:rsid w:val="00E05160"/>
    <w:rsid w:val="00EA08FD"/>
    <w:rsid w:val="00F6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4AE0"/>
  <w15:docId w15:val="{F30B574D-9D11-4143-BB19-4E711FF2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2A2B"/>
    <w:pPr>
      <w:tabs>
        <w:tab w:val="center" w:pos="4680"/>
        <w:tab w:val="right" w:pos="9360"/>
      </w:tabs>
      <w:spacing w:line="240" w:lineRule="auto"/>
    </w:pPr>
  </w:style>
  <w:style w:type="character" w:customStyle="1" w:styleId="HeaderChar">
    <w:name w:val="Header Char"/>
    <w:basedOn w:val="DefaultParagraphFont"/>
    <w:link w:val="Header"/>
    <w:uiPriority w:val="99"/>
    <w:rsid w:val="00922A2B"/>
  </w:style>
  <w:style w:type="paragraph" w:styleId="Footer">
    <w:name w:val="footer"/>
    <w:basedOn w:val="Normal"/>
    <w:link w:val="FooterChar"/>
    <w:uiPriority w:val="99"/>
    <w:unhideWhenUsed/>
    <w:rsid w:val="00922A2B"/>
    <w:pPr>
      <w:tabs>
        <w:tab w:val="center" w:pos="4680"/>
        <w:tab w:val="right" w:pos="9360"/>
      </w:tabs>
      <w:spacing w:line="240" w:lineRule="auto"/>
    </w:pPr>
  </w:style>
  <w:style w:type="character" w:customStyle="1" w:styleId="FooterChar">
    <w:name w:val="Footer Char"/>
    <w:basedOn w:val="DefaultParagraphFont"/>
    <w:link w:val="Footer"/>
    <w:uiPriority w:val="99"/>
    <w:rsid w:val="00922A2B"/>
  </w:style>
  <w:style w:type="paragraph" w:styleId="ListParagraph">
    <w:name w:val="List Paragraph"/>
    <w:basedOn w:val="Normal"/>
    <w:uiPriority w:val="34"/>
    <w:qFormat/>
    <w:rsid w:val="0003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9638">
      <w:bodyDiv w:val="1"/>
      <w:marLeft w:val="0"/>
      <w:marRight w:val="0"/>
      <w:marTop w:val="0"/>
      <w:marBottom w:val="0"/>
      <w:divBdr>
        <w:top w:val="none" w:sz="0" w:space="0" w:color="auto"/>
        <w:left w:val="none" w:sz="0" w:space="0" w:color="auto"/>
        <w:bottom w:val="none" w:sz="0" w:space="0" w:color="auto"/>
        <w:right w:val="none" w:sz="0" w:space="0" w:color="auto"/>
      </w:divBdr>
      <w:divsChild>
        <w:div w:id="3440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3341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933012">
      <w:bodyDiv w:val="1"/>
      <w:marLeft w:val="0"/>
      <w:marRight w:val="0"/>
      <w:marTop w:val="0"/>
      <w:marBottom w:val="0"/>
      <w:divBdr>
        <w:top w:val="none" w:sz="0" w:space="0" w:color="auto"/>
        <w:left w:val="none" w:sz="0" w:space="0" w:color="auto"/>
        <w:bottom w:val="none" w:sz="0" w:space="0" w:color="auto"/>
        <w:right w:val="none" w:sz="0" w:space="0" w:color="auto"/>
      </w:divBdr>
    </w:div>
    <w:div w:id="108621456">
      <w:bodyDiv w:val="1"/>
      <w:marLeft w:val="0"/>
      <w:marRight w:val="0"/>
      <w:marTop w:val="0"/>
      <w:marBottom w:val="0"/>
      <w:divBdr>
        <w:top w:val="none" w:sz="0" w:space="0" w:color="auto"/>
        <w:left w:val="none" w:sz="0" w:space="0" w:color="auto"/>
        <w:bottom w:val="none" w:sz="0" w:space="0" w:color="auto"/>
        <w:right w:val="none" w:sz="0" w:space="0" w:color="auto"/>
      </w:divBdr>
    </w:div>
    <w:div w:id="156577559">
      <w:bodyDiv w:val="1"/>
      <w:marLeft w:val="0"/>
      <w:marRight w:val="0"/>
      <w:marTop w:val="0"/>
      <w:marBottom w:val="0"/>
      <w:divBdr>
        <w:top w:val="none" w:sz="0" w:space="0" w:color="auto"/>
        <w:left w:val="none" w:sz="0" w:space="0" w:color="auto"/>
        <w:bottom w:val="none" w:sz="0" w:space="0" w:color="auto"/>
        <w:right w:val="none" w:sz="0" w:space="0" w:color="auto"/>
      </w:divBdr>
      <w:divsChild>
        <w:div w:id="42107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60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867112">
      <w:bodyDiv w:val="1"/>
      <w:marLeft w:val="0"/>
      <w:marRight w:val="0"/>
      <w:marTop w:val="0"/>
      <w:marBottom w:val="0"/>
      <w:divBdr>
        <w:top w:val="none" w:sz="0" w:space="0" w:color="auto"/>
        <w:left w:val="none" w:sz="0" w:space="0" w:color="auto"/>
        <w:bottom w:val="none" w:sz="0" w:space="0" w:color="auto"/>
        <w:right w:val="none" w:sz="0" w:space="0" w:color="auto"/>
      </w:divBdr>
    </w:div>
    <w:div w:id="402871769">
      <w:bodyDiv w:val="1"/>
      <w:marLeft w:val="0"/>
      <w:marRight w:val="0"/>
      <w:marTop w:val="0"/>
      <w:marBottom w:val="0"/>
      <w:divBdr>
        <w:top w:val="none" w:sz="0" w:space="0" w:color="auto"/>
        <w:left w:val="none" w:sz="0" w:space="0" w:color="auto"/>
        <w:bottom w:val="none" w:sz="0" w:space="0" w:color="auto"/>
        <w:right w:val="none" w:sz="0" w:space="0" w:color="auto"/>
      </w:divBdr>
    </w:div>
    <w:div w:id="522939859">
      <w:bodyDiv w:val="1"/>
      <w:marLeft w:val="0"/>
      <w:marRight w:val="0"/>
      <w:marTop w:val="0"/>
      <w:marBottom w:val="0"/>
      <w:divBdr>
        <w:top w:val="none" w:sz="0" w:space="0" w:color="auto"/>
        <w:left w:val="none" w:sz="0" w:space="0" w:color="auto"/>
        <w:bottom w:val="none" w:sz="0" w:space="0" w:color="auto"/>
        <w:right w:val="none" w:sz="0" w:space="0" w:color="auto"/>
      </w:divBdr>
    </w:div>
    <w:div w:id="585237484">
      <w:bodyDiv w:val="1"/>
      <w:marLeft w:val="0"/>
      <w:marRight w:val="0"/>
      <w:marTop w:val="0"/>
      <w:marBottom w:val="0"/>
      <w:divBdr>
        <w:top w:val="none" w:sz="0" w:space="0" w:color="auto"/>
        <w:left w:val="none" w:sz="0" w:space="0" w:color="auto"/>
        <w:bottom w:val="none" w:sz="0" w:space="0" w:color="auto"/>
        <w:right w:val="none" w:sz="0" w:space="0" w:color="auto"/>
      </w:divBdr>
      <w:divsChild>
        <w:div w:id="44966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76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425980">
      <w:bodyDiv w:val="1"/>
      <w:marLeft w:val="0"/>
      <w:marRight w:val="0"/>
      <w:marTop w:val="0"/>
      <w:marBottom w:val="0"/>
      <w:divBdr>
        <w:top w:val="none" w:sz="0" w:space="0" w:color="auto"/>
        <w:left w:val="none" w:sz="0" w:space="0" w:color="auto"/>
        <w:bottom w:val="none" w:sz="0" w:space="0" w:color="auto"/>
        <w:right w:val="none" w:sz="0" w:space="0" w:color="auto"/>
      </w:divBdr>
    </w:div>
    <w:div w:id="748498721">
      <w:bodyDiv w:val="1"/>
      <w:marLeft w:val="0"/>
      <w:marRight w:val="0"/>
      <w:marTop w:val="0"/>
      <w:marBottom w:val="0"/>
      <w:divBdr>
        <w:top w:val="none" w:sz="0" w:space="0" w:color="auto"/>
        <w:left w:val="none" w:sz="0" w:space="0" w:color="auto"/>
        <w:bottom w:val="none" w:sz="0" w:space="0" w:color="auto"/>
        <w:right w:val="none" w:sz="0" w:space="0" w:color="auto"/>
      </w:divBdr>
    </w:div>
    <w:div w:id="861671377">
      <w:bodyDiv w:val="1"/>
      <w:marLeft w:val="0"/>
      <w:marRight w:val="0"/>
      <w:marTop w:val="0"/>
      <w:marBottom w:val="0"/>
      <w:divBdr>
        <w:top w:val="none" w:sz="0" w:space="0" w:color="auto"/>
        <w:left w:val="none" w:sz="0" w:space="0" w:color="auto"/>
        <w:bottom w:val="none" w:sz="0" w:space="0" w:color="auto"/>
        <w:right w:val="none" w:sz="0" w:space="0" w:color="auto"/>
      </w:divBdr>
    </w:div>
    <w:div w:id="958031234">
      <w:bodyDiv w:val="1"/>
      <w:marLeft w:val="0"/>
      <w:marRight w:val="0"/>
      <w:marTop w:val="0"/>
      <w:marBottom w:val="0"/>
      <w:divBdr>
        <w:top w:val="none" w:sz="0" w:space="0" w:color="auto"/>
        <w:left w:val="none" w:sz="0" w:space="0" w:color="auto"/>
        <w:bottom w:val="none" w:sz="0" w:space="0" w:color="auto"/>
        <w:right w:val="none" w:sz="0" w:space="0" w:color="auto"/>
      </w:divBdr>
    </w:div>
    <w:div w:id="1215000697">
      <w:bodyDiv w:val="1"/>
      <w:marLeft w:val="0"/>
      <w:marRight w:val="0"/>
      <w:marTop w:val="0"/>
      <w:marBottom w:val="0"/>
      <w:divBdr>
        <w:top w:val="none" w:sz="0" w:space="0" w:color="auto"/>
        <w:left w:val="none" w:sz="0" w:space="0" w:color="auto"/>
        <w:bottom w:val="none" w:sz="0" w:space="0" w:color="auto"/>
        <w:right w:val="none" w:sz="0" w:space="0" w:color="auto"/>
      </w:divBdr>
      <w:divsChild>
        <w:div w:id="172124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95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887473">
      <w:bodyDiv w:val="1"/>
      <w:marLeft w:val="0"/>
      <w:marRight w:val="0"/>
      <w:marTop w:val="0"/>
      <w:marBottom w:val="0"/>
      <w:divBdr>
        <w:top w:val="none" w:sz="0" w:space="0" w:color="auto"/>
        <w:left w:val="none" w:sz="0" w:space="0" w:color="auto"/>
        <w:bottom w:val="none" w:sz="0" w:space="0" w:color="auto"/>
        <w:right w:val="none" w:sz="0" w:space="0" w:color="auto"/>
      </w:divBdr>
    </w:div>
    <w:div w:id="1409769006">
      <w:bodyDiv w:val="1"/>
      <w:marLeft w:val="0"/>
      <w:marRight w:val="0"/>
      <w:marTop w:val="0"/>
      <w:marBottom w:val="0"/>
      <w:divBdr>
        <w:top w:val="none" w:sz="0" w:space="0" w:color="auto"/>
        <w:left w:val="none" w:sz="0" w:space="0" w:color="auto"/>
        <w:bottom w:val="none" w:sz="0" w:space="0" w:color="auto"/>
        <w:right w:val="none" w:sz="0" w:space="0" w:color="auto"/>
      </w:divBdr>
      <w:divsChild>
        <w:div w:id="595017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15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554025">
      <w:bodyDiv w:val="1"/>
      <w:marLeft w:val="0"/>
      <w:marRight w:val="0"/>
      <w:marTop w:val="0"/>
      <w:marBottom w:val="0"/>
      <w:divBdr>
        <w:top w:val="none" w:sz="0" w:space="0" w:color="auto"/>
        <w:left w:val="none" w:sz="0" w:space="0" w:color="auto"/>
        <w:bottom w:val="none" w:sz="0" w:space="0" w:color="auto"/>
        <w:right w:val="none" w:sz="0" w:space="0" w:color="auto"/>
      </w:divBdr>
    </w:div>
    <w:div w:id="1514223070">
      <w:bodyDiv w:val="1"/>
      <w:marLeft w:val="0"/>
      <w:marRight w:val="0"/>
      <w:marTop w:val="0"/>
      <w:marBottom w:val="0"/>
      <w:divBdr>
        <w:top w:val="none" w:sz="0" w:space="0" w:color="auto"/>
        <w:left w:val="none" w:sz="0" w:space="0" w:color="auto"/>
        <w:bottom w:val="none" w:sz="0" w:space="0" w:color="auto"/>
        <w:right w:val="none" w:sz="0" w:space="0" w:color="auto"/>
      </w:divBdr>
    </w:div>
    <w:div w:id="1658996375">
      <w:bodyDiv w:val="1"/>
      <w:marLeft w:val="0"/>
      <w:marRight w:val="0"/>
      <w:marTop w:val="0"/>
      <w:marBottom w:val="0"/>
      <w:divBdr>
        <w:top w:val="none" w:sz="0" w:space="0" w:color="auto"/>
        <w:left w:val="none" w:sz="0" w:space="0" w:color="auto"/>
        <w:bottom w:val="none" w:sz="0" w:space="0" w:color="auto"/>
        <w:right w:val="none" w:sz="0" w:space="0" w:color="auto"/>
      </w:divBdr>
    </w:div>
    <w:div w:id="1773361287">
      <w:bodyDiv w:val="1"/>
      <w:marLeft w:val="0"/>
      <w:marRight w:val="0"/>
      <w:marTop w:val="0"/>
      <w:marBottom w:val="0"/>
      <w:divBdr>
        <w:top w:val="none" w:sz="0" w:space="0" w:color="auto"/>
        <w:left w:val="none" w:sz="0" w:space="0" w:color="auto"/>
        <w:bottom w:val="none" w:sz="0" w:space="0" w:color="auto"/>
        <w:right w:val="none" w:sz="0" w:space="0" w:color="auto"/>
      </w:divBdr>
    </w:div>
    <w:div w:id="1838113108">
      <w:bodyDiv w:val="1"/>
      <w:marLeft w:val="0"/>
      <w:marRight w:val="0"/>
      <w:marTop w:val="0"/>
      <w:marBottom w:val="0"/>
      <w:divBdr>
        <w:top w:val="none" w:sz="0" w:space="0" w:color="auto"/>
        <w:left w:val="none" w:sz="0" w:space="0" w:color="auto"/>
        <w:bottom w:val="none" w:sz="0" w:space="0" w:color="auto"/>
        <w:right w:val="none" w:sz="0" w:space="0" w:color="auto"/>
      </w:divBdr>
      <w:divsChild>
        <w:div w:id="163571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7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624540">
      <w:bodyDiv w:val="1"/>
      <w:marLeft w:val="0"/>
      <w:marRight w:val="0"/>
      <w:marTop w:val="0"/>
      <w:marBottom w:val="0"/>
      <w:divBdr>
        <w:top w:val="none" w:sz="0" w:space="0" w:color="auto"/>
        <w:left w:val="none" w:sz="0" w:space="0" w:color="auto"/>
        <w:bottom w:val="none" w:sz="0" w:space="0" w:color="auto"/>
        <w:right w:val="none" w:sz="0" w:space="0" w:color="auto"/>
      </w:divBdr>
    </w:div>
    <w:div w:id="212345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 Garvin</cp:lastModifiedBy>
  <cp:revision>52</cp:revision>
  <dcterms:created xsi:type="dcterms:W3CDTF">2024-12-19T19:12:00Z</dcterms:created>
  <dcterms:modified xsi:type="dcterms:W3CDTF">2025-05-28T18:33:00Z</dcterms:modified>
</cp:coreProperties>
</file>