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3493" w14:textId="617BC2D2" w:rsidR="00922A2B" w:rsidRDefault="000F7D49" w:rsidP="00922A2B">
      <w:pPr>
        <w:spacing w:line="360" w:lineRule="auto"/>
        <w:jc w:val="center"/>
        <w:rPr>
          <w:lang w:val="en-US"/>
        </w:rPr>
      </w:pPr>
      <w:r>
        <w:rPr>
          <w:noProof/>
          <w:lang w:val="en-US"/>
        </w:rPr>
        <w:drawing>
          <wp:inline distT="0" distB="0" distL="0" distR="0" wp14:anchorId="63EDE7DA" wp14:editId="634AADA6">
            <wp:extent cx="2328975" cy="1112732"/>
            <wp:effectExtent l="0" t="0" r="0" b="5080"/>
            <wp:docPr id="3662213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135" name="Picture 2"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759" cy="1171873"/>
                    </a:xfrm>
                    <a:prstGeom prst="rect">
                      <a:avLst/>
                    </a:prstGeom>
                  </pic:spPr>
                </pic:pic>
              </a:graphicData>
            </a:graphic>
          </wp:inline>
        </w:drawing>
      </w:r>
    </w:p>
    <w:p w14:paraId="363F88B8" w14:textId="77777777" w:rsidR="00922A2B" w:rsidRPr="00922A2B" w:rsidRDefault="00922A2B" w:rsidP="00922A2B">
      <w:pPr>
        <w:spacing w:line="360" w:lineRule="auto"/>
        <w:jc w:val="center"/>
        <w:rPr>
          <w:lang w:val="en-US"/>
        </w:rPr>
      </w:pPr>
    </w:p>
    <w:p w14:paraId="51A22D84" w14:textId="04C9F59B" w:rsidR="00922A2B" w:rsidRPr="00922A2B" w:rsidRDefault="00BA2D52" w:rsidP="00922A2B">
      <w:pPr>
        <w:spacing w:line="360" w:lineRule="auto"/>
        <w:jc w:val="center"/>
        <w:rPr>
          <w:lang w:val="en-US"/>
        </w:rPr>
      </w:pPr>
      <w:r>
        <w:rPr>
          <w:lang w:val="en-US"/>
        </w:rPr>
        <w:t>June</w:t>
      </w:r>
      <w:r w:rsidR="00922A2B">
        <w:rPr>
          <w:lang w:val="en-US"/>
        </w:rPr>
        <w:t xml:space="preserve"> </w:t>
      </w:r>
      <w:r>
        <w:rPr>
          <w:lang w:val="en-US"/>
        </w:rPr>
        <w:t>18</w:t>
      </w:r>
      <w:r w:rsidR="00922A2B">
        <w:rPr>
          <w:lang w:val="en-US"/>
        </w:rPr>
        <w:t>, 202</w:t>
      </w:r>
      <w:r w:rsidR="009D4F6C">
        <w:rPr>
          <w:lang w:val="en-US"/>
        </w:rPr>
        <w:t>5</w:t>
      </w:r>
    </w:p>
    <w:p w14:paraId="678AD379" w14:textId="6838CDA7" w:rsidR="007E6574" w:rsidRPr="007E6574" w:rsidRDefault="00BA2D52" w:rsidP="007E6574">
      <w:pPr>
        <w:spacing w:line="360" w:lineRule="auto"/>
        <w:rPr>
          <w:b/>
          <w:bCs/>
          <w:lang w:val="en-US"/>
        </w:rPr>
      </w:pPr>
      <w:r>
        <w:rPr>
          <w:b/>
          <w:bCs/>
          <w:noProof/>
          <w:lang w:val="en-US"/>
        </w:rPr>
      </w:r>
      <w:r w:rsidR="00BA2D52">
        <w:rPr>
          <w:b/>
          <w:bCs/>
          <w:noProof/>
          <w:lang w:val="en-US"/>
        </w:rPr>
        <w:pict w14:anchorId="689996DC">
          <v:rect id="_x0000_i1025" alt="" style="width:468pt;height:.05pt;mso-width-percent:0;mso-height-percent:0;mso-width-percent:0;mso-height-percent:0" o:hralign="center" o:hrstd="t" o:hr="t" fillcolor="#a0a0a0" stroked="f"/>
        </w:pict>
      </w:r>
    </w:p>
    <w:p w14:paraId="7D2AF2A5" w14:textId="7764D00B" w:rsidR="00A148EA" w:rsidRPr="00A148EA" w:rsidRDefault="007E6574" w:rsidP="00A148EA">
      <w:pPr>
        <w:spacing w:line="360" w:lineRule="auto"/>
        <w:rPr>
          <w:b/>
          <w:bCs/>
          <w:lang w:val="en-US"/>
        </w:rPr>
      </w:pPr>
      <w:r w:rsidRPr="007E6574">
        <w:rPr>
          <w:b/>
          <w:bCs/>
          <w:lang w:val="en-US"/>
        </w:rPr>
        <w:t>Economic Report: Insights into Today’s Housing Market</w:t>
      </w:r>
    </w:p>
    <w:p w14:paraId="73AB8C0D" w14:textId="77777777" w:rsidR="00A148EA" w:rsidRPr="00A148EA" w:rsidRDefault="00A148EA" w:rsidP="00A148EA">
      <w:pPr>
        <w:spacing w:line="360" w:lineRule="auto"/>
        <w:rPr>
          <w:b/>
          <w:bCs/>
          <w:lang w:val="en-US"/>
        </w:rPr>
      </w:pPr>
      <w:r w:rsidRPr="00A148EA">
        <w:rPr>
          <w:b/>
          <w:bCs/>
          <w:lang w:val="en-US"/>
        </w:rPr>
        <w:t>FMLS Market Intel Report</w:t>
      </w:r>
      <w:r w:rsidRPr="00A148EA">
        <w:rPr>
          <w:b/>
          <w:bCs/>
          <w:lang w:val="en-US"/>
        </w:rPr>
        <w:br/>
        <w:t>Prepared by Leslie Appleton Young, Chief Economist, FMLS</w:t>
      </w:r>
      <w:r w:rsidRPr="00A148EA">
        <w:rPr>
          <w:b/>
          <w:bCs/>
          <w:lang w:val="en-US"/>
        </w:rPr>
        <w:br/>
        <w:t>June 2025</w:t>
      </w:r>
    </w:p>
    <w:p w14:paraId="1728CABB"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1A781457">
          <v:rect id="_x0000_i1079" alt="" style="width:468pt;height:.05pt;mso-width-percent:0;mso-height-percent:0;mso-width-percent:0;mso-height-percent:0" o:hralign="center" o:hrstd="t" o:hr="t" fillcolor="#a0a0a0" stroked="f"/>
        </w:pict>
      </w:r>
    </w:p>
    <w:p w14:paraId="12F63317" w14:textId="77777777" w:rsidR="00A148EA" w:rsidRPr="00A148EA" w:rsidRDefault="00A148EA" w:rsidP="00A148EA">
      <w:pPr>
        <w:spacing w:line="360" w:lineRule="auto"/>
        <w:rPr>
          <w:b/>
          <w:bCs/>
          <w:lang w:val="en-US"/>
        </w:rPr>
      </w:pPr>
      <w:r w:rsidRPr="00A148EA">
        <w:rPr>
          <w:b/>
          <w:bCs/>
          <w:lang w:val="en-US"/>
        </w:rPr>
        <w:t>Executive Summary</w:t>
      </w:r>
    </w:p>
    <w:p w14:paraId="0A12B3F4" w14:textId="77777777" w:rsidR="00A148EA" w:rsidRDefault="00A148EA" w:rsidP="00A148EA">
      <w:pPr>
        <w:spacing w:line="360" w:lineRule="auto"/>
        <w:rPr>
          <w:lang w:val="en-US"/>
        </w:rPr>
      </w:pPr>
      <w:r w:rsidRPr="00A148EA">
        <w:rPr>
          <w:lang w:val="en-US"/>
        </w:rPr>
        <w:t>The first half of 2025 has unfolded under a cloud of tempered expectations and increasing economic uncertainty. Macroeconomic indicators signal a mixed economic environment—neither robust enough to inspire confidence nor weak enough to drive decisive monetary easing. The result has been stagnation across consumer sentiment, financial markets, and housing activity.</w:t>
      </w:r>
    </w:p>
    <w:p w14:paraId="6EB65E07" w14:textId="77777777" w:rsidR="00721809" w:rsidRPr="00A148EA" w:rsidRDefault="00721809" w:rsidP="00A148EA">
      <w:pPr>
        <w:spacing w:line="360" w:lineRule="auto"/>
        <w:rPr>
          <w:lang w:val="en-US"/>
        </w:rPr>
      </w:pPr>
    </w:p>
    <w:p w14:paraId="0A8E4CC5" w14:textId="77777777" w:rsidR="00A148EA" w:rsidRPr="00A148EA" w:rsidRDefault="00A148EA" w:rsidP="00A148EA">
      <w:pPr>
        <w:spacing w:line="360" w:lineRule="auto"/>
        <w:rPr>
          <w:lang w:val="en-US"/>
        </w:rPr>
      </w:pPr>
      <w:r w:rsidRPr="00A148EA">
        <w:rPr>
          <w:lang w:val="en-US"/>
        </w:rPr>
        <w:t xml:space="preserve">If a single word encapsulates the current economic landscape, it is “disappointment.” Below, we </w:t>
      </w:r>
      <w:r w:rsidRPr="00A148EA">
        <w:rPr>
          <w:b/>
          <w:bCs/>
          <w:lang w:val="en-US"/>
        </w:rPr>
        <w:t>explore the key indicators</w:t>
      </w:r>
      <w:r w:rsidRPr="00A148EA">
        <w:rPr>
          <w:lang w:val="en-US"/>
        </w:rPr>
        <w:t xml:space="preserve"> shaping this outlook and consider their implications for the housing market for the remainder of the year.</w:t>
      </w:r>
    </w:p>
    <w:p w14:paraId="1023CCBA"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0BB10E6C">
          <v:rect id="_x0000_i1080" alt="" style="width:468pt;height:.05pt;mso-width-percent:0;mso-height-percent:0;mso-width-percent:0;mso-height-percent:0" o:hralign="center" o:hrstd="t" o:hr="t" fillcolor="#a0a0a0" stroked="f"/>
        </w:pict>
      </w:r>
    </w:p>
    <w:p w14:paraId="4871C706" w14:textId="77777777" w:rsidR="00A148EA" w:rsidRPr="00A148EA" w:rsidRDefault="00A148EA" w:rsidP="00A148EA">
      <w:pPr>
        <w:spacing w:line="360" w:lineRule="auto"/>
        <w:rPr>
          <w:b/>
          <w:bCs/>
          <w:lang w:val="en-US"/>
        </w:rPr>
      </w:pPr>
      <w:r w:rsidRPr="00A148EA">
        <w:rPr>
          <w:b/>
          <w:bCs/>
          <w:lang w:val="en-US"/>
        </w:rPr>
        <w:t>Macroeconomic Overview</w:t>
      </w:r>
    </w:p>
    <w:p w14:paraId="4FED07A5" w14:textId="77777777" w:rsidR="00A148EA" w:rsidRPr="00A148EA" w:rsidRDefault="00A148EA" w:rsidP="00A148EA">
      <w:pPr>
        <w:spacing w:line="360" w:lineRule="auto"/>
        <w:rPr>
          <w:lang w:val="en-US"/>
        </w:rPr>
      </w:pPr>
      <w:r w:rsidRPr="00A148EA">
        <w:rPr>
          <w:lang w:val="en-US"/>
        </w:rPr>
        <w:t>Economic data released in recent months paint a portrait of an economy that, while still fundamentally resilient, is showing signs of strain. Most notably:</w:t>
      </w:r>
    </w:p>
    <w:p w14:paraId="534B364F" w14:textId="77777777" w:rsidR="00A148EA" w:rsidRPr="00A148EA" w:rsidRDefault="00A148EA" w:rsidP="00A148EA">
      <w:pPr>
        <w:numPr>
          <w:ilvl w:val="0"/>
          <w:numId w:val="23"/>
        </w:numPr>
        <w:spacing w:line="360" w:lineRule="auto"/>
        <w:rPr>
          <w:lang w:val="en-US"/>
        </w:rPr>
      </w:pPr>
      <w:r w:rsidRPr="00A148EA">
        <w:rPr>
          <w:lang w:val="en-US"/>
        </w:rPr>
        <w:t>Inflation: Consumer prices increased 2.4% in May, up marginally from 2.3% in April, largely reflecting the early effects of newly imposed tariffs. Inflation remains near—but still above—the Federal Reserve’s 2.0% target, complicating prospects for interest rate cuts.</w:t>
      </w:r>
    </w:p>
    <w:p w14:paraId="076F47B9" w14:textId="77777777" w:rsidR="00A148EA" w:rsidRPr="00A148EA" w:rsidRDefault="00A148EA" w:rsidP="00A148EA">
      <w:pPr>
        <w:numPr>
          <w:ilvl w:val="0"/>
          <w:numId w:val="23"/>
        </w:numPr>
        <w:spacing w:line="360" w:lineRule="auto"/>
        <w:rPr>
          <w:lang w:val="en-US"/>
        </w:rPr>
      </w:pPr>
      <w:r w:rsidRPr="00A148EA">
        <w:rPr>
          <w:lang w:val="en-US"/>
        </w:rPr>
        <w:t>Labor Market: Job growth in May totaled 139,000, exceeding expectations but continuing a pattern of moderate gains. The unemployment rate held steady at 4.2% for the third consecutive month, suggesting a stable, yet not overheated, labor market.</w:t>
      </w:r>
    </w:p>
    <w:p w14:paraId="531F4193" w14:textId="77777777" w:rsidR="00A148EA" w:rsidRPr="00A148EA" w:rsidRDefault="00A148EA" w:rsidP="00A148EA">
      <w:pPr>
        <w:numPr>
          <w:ilvl w:val="0"/>
          <w:numId w:val="23"/>
        </w:numPr>
        <w:spacing w:line="360" w:lineRule="auto"/>
        <w:rPr>
          <w:lang w:val="en-US"/>
        </w:rPr>
      </w:pPr>
      <w:r w:rsidRPr="00A148EA">
        <w:rPr>
          <w:lang w:val="en-US"/>
        </w:rPr>
        <w:lastRenderedPageBreak/>
        <w:t>GDP Growth: Real GDP contracted by 0.2% in Q1 2025, a sharp reversal from the 2.4% growth posted in Q4 2024. The Federal Reserve has since revised its 2025 GDP growth forecast downward from 2.1% to 1.7%, citing the dampening effects of tariffs on both trade volumes and consumer/business spending.</w:t>
      </w:r>
    </w:p>
    <w:p w14:paraId="7123752C"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2282FD48">
          <v:rect id="_x0000_i1081" alt="" style="width:468pt;height:.05pt;mso-width-percent:0;mso-height-percent:0;mso-width-percent:0;mso-height-percent:0" o:hralign="center" o:hrstd="t" o:hr="t" fillcolor="#a0a0a0" stroked="f"/>
        </w:pict>
      </w:r>
    </w:p>
    <w:p w14:paraId="785311D7" w14:textId="77777777" w:rsidR="00A148EA" w:rsidRPr="00A148EA" w:rsidRDefault="00A148EA" w:rsidP="00A148EA">
      <w:pPr>
        <w:spacing w:line="360" w:lineRule="auto"/>
        <w:rPr>
          <w:b/>
          <w:bCs/>
          <w:lang w:val="en-US"/>
        </w:rPr>
      </w:pPr>
      <w:r w:rsidRPr="00A148EA">
        <w:rPr>
          <w:b/>
          <w:bCs/>
          <w:lang w:val="en-US"/>
        </w:rPr>
        <w:t>Monetary Policy and Interest Rates</w:t>
      </w:r>
    </w:p>
    <w:p w14:paraId="25E064DC" w14:textId="77777777" w:rsidR="00A148EA" w:rsidRPr="00A148EA" w:rsidRDefault="00A148EA" w:rsidP="00A148EA">
      <w:pPr>
        <w:spacing w:line="360" w:lineRule="auto"/>
        <w:rPr>
          <w:lang w:val="en-US"/>
        </w:rPr>
      </w:pPr>
      <w:r w:rsidRPr="00A148EA">
        <w:rPr>
          <w:lang w:val="en-US"/>
        </w:rPr>
        <w:t>Mortgage rates remain elevated, albeit slightly off their recent peaks:</w:t>
      </w:r>
    </w:p>
    <w:p w14:paraId="2C8A1A39" w14:textId="77777777" w:rsidR="00A148EA" w:rsidRPr="00A148EA" w:rsidRDefault="00A148EA" w:rsidP="00A148EA">
      <w:pPr>
        <w:numPr>
          <w:ilvl w:val="0"/>
          <w:numId w:val="24"/>
        </w:numPr>
        <w:spacing w:line="360" w:lineRule="auto"/>
        <w:rPr>
          <w:lang w:val="en-US"/>
        </w:rPr>
      </w:pPr>
      <w:r w:rsidRPr="00A148EA">
        <w:rPr>
          <w:lang w:val="en-US"/>
        </w:rPr>
        <w:t>The average 30-year fixed mortgage rate declined marginally to 6.84%, from 6.85% the previous week.</w:t>
      </w:r>
    </w:p>
    <w:p w14:paraId="491CCF6D" w14:textId="77777777" w:rsidR="00A148EA" w:rsidRDefault="00A148EA" w:rsidP="00A148EA">
      <w:pPr>
        <w:numPr>
          <w:ilvl w:val="0"/>
          <w:numId w:val="24"/>
        </w:numPr>
        <w:spacing w:line="360" w:lineRule="auto"/>
        <w:rPr>
          <w:lang w:val="en-US"/>
        </w:rPr>
      </w:pPr>
      <w:r w:rsidRPr="00A148EA">
        <w:rPr>
          <w:lang w:val="en-US"/>
        </w:rPr>
        <w:t>This is the second decline in five weeks, though rates remain over 20 basis points higher than in early 2025, offering only minimal relief to prospective homebuyers.</w:t>
      </w:r>
    </w:p>
    <w:p w14:paraId="782B96AA" w14:textId="77777777" w:rsidR="008B39AB" w:rsidRPr="00A148EA" w:rsidRDefault="008B39AB" w:rsidP="008B39AB">
      <w:pPr>
        <w:spacing w:line="360" w:lineRule="auto"/>
        <w:ind w:left="720"/>
        <w:rPr>
          <w:lang w:val="en-US"/>
        </w:rPr>
      </w:pPr>
    </w:p>
    <w:p w14:paraId="714E76D1" w14:textId="77777777" w:rsidR="00A148EA" w:rsidRPr="00A148EA" w:rsidRDefault="00A148EA" w:rsidP="00A148EA">
      <w:pPr>
        <w:spacing w:line="360" w:lineRule="auto"/>
        <w:rPr>
          <w:lang w:val="en-US"/>
        </w:rPr>
      </w:pPr>
      <w:r w:rsidRPr="00A148EA">
        <w:rPr>
          <w:lang w:val="en-US"/>
        </w:rPr>
        <w:t>This limited movement underscores the Federal Reserve’s cautious posture. While markets anticipate rate cuts, the Fed is unlikely to move decisively until inflation demonstrates sustained moderation.</w:t>
      </w:r>
    </w:p>
    <w:p w14:paraId="6A31112E"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163B87E7">
          <v:rect id="_x0000_i1082" alt="" style="width:468pt;height:.05pt;mso-width-percent:0;mso-height-percent:0;mso-width-percent:0;mso-height-percent:0" o:hralign="center" o:hrstd="t" o:hr="t" fillcolor="#a0a0a0" stroked="f"/>
        </w:pict>
      </w:r>
    </w:p>
    <w:p w14:paraId="776D0912" w14:textId="77777777" w:rsidR="00A148EA" w:rsidRPr="00A148EA" w:rsidRDefault="00A148EA" w:rsidP="00A148EA">
      <w:pPr>
        <w:spacing w:line="360" w:lineRule="auto"/>
        <w:rPr>
          <w:b/>
          <w:bCs/>
          <w:lang w:val="en-US"/>
        </w:rPr>
      </w:pPr>
      <w:r w:rsidRPr="00A148EA">
        <w:rPr>
          <w:b/>
          <w:bCs/>
          <w:lang w:val="en-US"/>
        </w:rPr>
        <w:t>Consumer Sentiment and Market Behavior</w:t>
      </w:r>
    </w:p>
    <w:p w14:paraId="2D01DEF1" w14:textId="77777777" w:rsidR="00A148EA" w:rsidRPr="00A148EA" w:rsidRDefault="00A148EA" w:rsidP="00A148EA">
      <w:pPr>
        <w:numPr>
          <w:ilvl w:val="0"/>
          <w:numId w:val="25"/>
        </w:numPr>
        <w:spacing w:line="360" w:lineRule="auto"/>
        <w:rPr>
          <w:lang w:val="en-US"/>
        </w:rPr>
      </w:pPr>
      <w:r w:rsidRPr="00A148EA">
        <w:rPr>
          <w:lang w:val="en-US"/>
        </w:rPr>
        <w:t>The University of Michigan Consumer Sentiment Index fell to 52.2 in both April and May, down from 74 in January. This represents the second-lowest reading on record, underscoring the public’s heightened uncertainty about the economic outlook.</w:t>
      </w:r>
    </w:p>
    <w:p w14:paraId="3BD29081" w14:textId="77777777" w:rsidR="00A148EA" w:rsidRPr="00A148EA" w:rsidRDefault="00A148EA" w:rsidP="00A148EA">
      <w:pPr>
        <w:numPr>
          <w:ilvl w:val="0"/>
          <w:numId w:val="25"/>
        </w:numPr>
        <w:spacing w:line="360" w:lineRule="auto"/>
        <w:rPr>
          <w:lang w:val="en-US"/>
        </w:rPr>
      </w:pPr>
      <w:r w:rsidRPr="00A148EA">
        <w:rPr>
          <w:lang w:val="en-US"/>
        </w:rPr>
        <w:t>Consumer caution is translating into weaker housing activity and increased inventory. While more listings are becoming available, demand remains tepid.</w:t>
      </w:r>
    </w:p>
    <w:p w14:paraId="17FE6D3F"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04D96D1B">
          <v:rect id="_x0000_i1083" alt="" style="width:468pt;height:.05pt;mso-width-percent:0;mso-height-percent:0;mso-width-percent:0;mso-height-percent:0" o:hralign="center" o:hrstd="t" o:hr="t" fillcolor="#a0a0a0" stroked="f"/>
        </w:pict>
      </w:r>
    </w:p>
    <w:p w14:paraId="16B1CF33" w14:textId="77777777" w:rsidR="00A148EA" w:rsidRPr="00A148EA" w:rsidRDefault="00A148EA" w:rsidP="00A148EA">
      <w:pPr>
        <w:spacing w:line="360" w:lineRule="auto"/>
        <w:rPr>
          <w:b/>
          <w:bCs/>
          <w:lang w:val="en-US"/>
        </w:rPr>
      </w:pPr>
      <w:r w:rsidRPr="00A148EA">
        <w:rPr>
          <w:b/>
          <w:bCs/>
          <w:lang w:val="en-US"/>
        </w:rPr>
        <w:t>Housing Market Update</w:t>
      </w:r>
    </w:p>
    <w:p w14:paraId="3E668BAE" w14:textId="77777777" w:rsidR="00A148EA" w:rsidRPr="00A148EA" w:rsidRDefault="00A148EA" w:rsidP="00A148EA">
      <w:pPr>
        <w:spacing w:line="360" w:lineRule="auto"/>
        <w:rPr>
          <w:lang w:val="en-US"/>
        </w:rPr>
      </w:pPr>
      <w:r w:rsidRPr="00A148EA">
        <w:rPr>
          <w:lang w:val="en-US"/>
        </w:rPr>
        <w:t>The housing market is undergoing a transition marked by a rising supply and subdued sales:</w:t>
      </w:r>
    </w:p>
    <w:p w14:paraId="7F0955DE" w14:textId="77777777" w:rsidR="00A148EA" w:rsidRPr="00A148EA" w:rsidRDefault="00A148EA" w:rsidP="00A148EA">
      <w:pPr>
        <w:numPr>
          <w:ilvl w:val="0"/>
          <w:numId w:val="26"/>
        </w:numPr>
        <w:spacing w:line="360" w:lineRule="auto"/>
        <w:rPr>
          <w:lang w:val="en-US"/>
        </w:rPr>
      </w:pPr>
      <w:r w:rsidRPr="00A148EA">
        <w:rPr>
          <w:lang w:val="en-US"/>
        </w:rPr>
        <w:t>Active listings in May exceeded 1 million, the highest since December 2019—a 31.5% increase year-over-year.</w:t>
      </w:r>
    </w:p>
    <w:p w14:paraId="243026AD" w14:textId="77777777" w:rsidR="00A148EA" w:rsidRDefault="00A148EA" w:rsidP="00A148EA">
      <w:pPr>
        <w:numPr>
          <w:ilvl w:val="0"/>
          <w:numId w:val="26"/>
        </w:numPr>
        <w:spacing w:line="360" w:lineRule="auto"/>
        <w:rPr>
          <w:lang w:val="en-US"/>
        </w:rPr>
      </w:pPr>
      <w:r w:rsidRPr="00A148EA">
        <w:rPr>
          <w:lang w:val="en-US"/>
        </w:rPr>
        <w:t>Despite this increase in inventory, sales volumes are trailing 2024 levels.</w:t>
      </w:r>
    </w:p>
    <w:p w14:paraId="4C5B2615" w14:textId="77777777" w:rsidR="008B39AB" w:rsidRPr="00A148EA" w:rsidRDefault="008B39AB" w:rsidP="008B39AB">
      <w:pPr>
        <w:spacing w:line="360" w:lineRule="auto"/>
        <w:ind w:left="720"/>
        <w:rPr>
          <w:lang w:val="en-US"/>
        </w:rPr>
      </w:pPr>
    </w:p>
    <w:p w14:paraId="66488C71" w14:textId="77777777" w:rsidR="00A148EA" w:rsidRPr="00A148EA" w:rsidRDefault="00A148EA" w:rsidP="00A148EA">
      <w:pPr>
        <w:spacing w:line="360" w:lineRule="auto"/>
        <w:rPr>
          <w:lang w:val="en-US"/>
        </w:rPr>
      </w:pPr>
      <w:r w:rsidRPr="00A148EA">
        <w:rPr>
          <w:lang w:val="en-US"/>
        </w:rPr>
        <w:t xml:space="preserve">As Selma Hepp, Chief Economist at </w:t>
      </w:r>
      <w:proofErr w:type="spellStart"/>
      <w:r w:rsidRPr="00A148EA">
        <w:rPr>
          <w:lang w:val="en-US"/>
        </w:rPr>
        <w:t>Cotality</w:t>
      </w:r>
      <w:proofErr w:type="spellEnd"/>
      <w:r w:rsidRPr="00A148EA">
        <w:rPr>
          <w:lang w:val="en-US"/>
        </w:rPr>
        <w:t>, aptly stated:</w:t>
      </w:r>
    </w:p>
    <w:p w14:paraId="0840C3D7" w14:textId="77777777" w:rsidR="00A148EA" w:rsidRPr="00A148EA" w:rsidRDefault="00A148EA" w:rsidP="00A148EA">
      <w:pPr>
        <w:spacing w:line="360" w:lineRule="auto"/>
        <w:rPr>
          <w:lang w:val="en-US"/>
        </w:rPr>
      </w:pPr>
      <w:r w:rsidRPr="00A148EA">
        <w:rPr>
          <w:lang w:val="en-US"/>
        </w:rPr>
        <w:t>“</w:t>
      </w:r>
      <w:proofErr w:type="gramStart"/>
      <w:r w:rsidRPr="00A148EA">
        <w:rPr>
          <w:lang w:val="en-US"/>
        </w:rPr>
        <w:t>Yes</w:t>
      </w:r>
      <w:proofErr w:type="gramEnd"/>
      <w:r w:rsidRPr="00A148EA">
        <w:rPr>
          <w:lang w:val="en-US"/>
        </w:rPr>
        <w:t xml:space="preserve"> there is more inventory, but it’s almost like too little too late.”</w:t>
      </w:r>
    </w:p>
    <w:p w14:paraId="6EC9793F" w14:textId="77777777" w:rsidR="008B39AB" w:rsidRDefault="008B39AB" w:rsidP="00A148EA">
      <w:pPr>
        <w:spacing w:line="360" w:lineRule="auto"/>
        <w:rPr>
          <w:lang w:val="en-US"/>
        </w:rPr>
      </w:pPr>
    </w:p>
    <w:p w14:paraId="37A5BB17" w14:textId="459135CB" w:rsidR="00A148EA" w:rsidRPr="00A148EA" w:rsidRDefault="00A148EA" w:rsidP="00A148EA">
      <w:pPr>
        <w:spacing w:line="360" w:lineRule="auto"/>
        <w:rPr>
          <w:lang w:val="en-US"/>
        </w:rPr>
      </w:pPr>
      <w:r w:rsidRPr="00A148EA">
        <w:rPr>
          <w:lang w:val="en-US"/>
        </w:rPr>
        <w:t>Forecasts and Forward-Looking Indicators</w:t>
      </w:r>
    </w:p>
    <w:p w14:paraId="6C072CBB" w14:textId="77777777" w:rsidR="00A148EA" w:rsidRPr="00A148EA" w:rsidRDefault="00A148EA" w:rsidP="00A148EA">
      <w:pPr>
        <w:numPr>
          <w:ilvl w:val="0"/>
          <w:numId w:val="27"/>
        </w:numPr>
        <w:spacing w:line="360" w:lineRule="auto"/>
        <w:rPr>
          <w:lang w:val="en-US"/>
        </w:rPr>
      </w:pPr>
      <w:r w:rsidRPr="00A148EA">
        <w:rPr>
          <w:lang w:val="en-US"/>
        </w:rPr>
        <w:lastRenderedPageBreak/>
        <w:t>The National Association of Realtors (NAR) projects existing home sales will rise 6% in 2025, with median home prices increasing 3%, and mortgage rates falling to 6.4% by year-end.</w:t>
      </w:r>
    </w:p>
    <w:p w14:paraId="6A4BF7CB" w14:textId="77777777" w:rsidR="00A148EA" w:rsidRDefault="00A148EA" w:rsidP="00A148EA">
      <w:pPr>
        <w:numPr>
          <w:ilvl w:val="0"/>
          <w:numId w:val="27"/>
        </w:numPr>
        <w:spacing w:line="360" w:lineRule="auto"/>
        <w:rPr>
          <w:lang w:val="en-US"/>
        </w:rPr>
      </w:pPr>
      <w:r w:rsidRPr="00A148EA">
        <w:rPr>
          <w:lang w:val="en-US"/>
        </w:rPr>
        <w:t>These forecasts hinge on continued economic slowing, which would give the Federal Reserve the leeway to reduce interest rates without reigniting inflation.</w:t>
      </w:r>
    </w:p>
    <w:p w14:paraId="6733B41A" w14:textId="77777777" w:rsidR="008B39AB" w:rsidRPr="00A148EA" w:rsidRDefault="008B39AB" w:rsidP="008B39AB">
      <w:pPr>
        <w:spacing w:line="360" w:lineRule="auto"/>
        <w:ind w:left="720"/>
        <w:rPr>
          <w:lang w:val="en-US"/>
        </w:rPr>
      </w:pPr>
    </w:p>
    <w:p w14:paraId="7F6E1C4E" w14:textId="77777777" w:rsidR="00A148EA" w:rsidRPr="00A148EA" w:rsidRDefault="00A148EA" w:rsidP="00A148EA">
      <w:pPr>
        <w:spacing w:line="360" w:lineRule="auto"/>
        <w:rPr>
          <w:lang w:val="en-US"/>
        </w:rPr>
      </w:pPr>
      <w:r w:rsidRPr="00A148EA">
        <w:rPr>
          <w:lang w:val="en-US"/>
        </w:rPr>
        <w:t>However, more immediate indicators suggest a sluggish second half:</w:t>
      </w:r>
    </w:p>
    <w:p w14:paraId="3E40DC50" w14:textId="77777777" w:rsidR="00A148EA" w:rsidRPr="00A148EA" w:rsidRDefault="00A148EA" w:rsidP="00A148EA">
      <w:pPr>
        <w:numPr>
          <w:ilvl w:val="0"/>
          <w:numId w:val="28"/>
        </w:numPr>
        <w:spacing w:line="360" w:lineRule="auto"/>
        <w:rPr>
          <w:lang w:val="en-US"/>
        </w:rPr>
      </w:pPr>
      <w:r w:rsidRPr="00A148EA">
        <w:rPr>
          <w:lang w:val="en-US"/>
        </w:rPr>
        <w:t>NAR’s Pending Home Sales Index declined 6.3% month-over-month in April, an unusual pattern for the peak spring season.</w:t>
      </w:r>
    </w:p>
    <w:p w14:paraId="5950CC31" w14:textId="77777777" w:rsidR="00A148EA" w:rsidRDefault="00A148EA" w:rsidP="00A148EA">
      <w:pPr>
        <w:numPr>
          <w:ilvl w:val="0"/>
          <w:numId w:val="28"/>
        </w:numPr>
        <w:spacing w:line="360" w:lineRule="auto"/>
        <w:rPr>
          <w:lang w:val="en-US"/>
        </w:rPr>
      </w:pPr>
      <w:r w:rsidRPr="00A148EA">
        <w:rPr>
          <w:lang w:val="en-US"/>
        </w:rPr>
        <w:t xml:space="preserve">Pending sales were also down 2.5% year-over-year, with Atlanta’s May </w:t>
      </w:r>
      <w:proofErr w:type="spellStart"/>
      <w:r w:rsidRPr="00A148EA">
        <w:rPr>
          <w:lang w:val="en-US"/>
        </w:rPr>
        <w:t>pendings</w:t>
      </w:r>
      <w:proofErr w:type="spellEnd"/>
      <w:r w:rsidRPr="00A148EA">
        <w:rPr>
          <w:lang w:val="en-US"/>
        </w:rPr>
        <w:t xml:space="preserve"> down 11% from the prior year.</w:t>
      </w:r>
    </w:p>
    <w:p w14:paraId="4560561C" w14:textId="77777777" w:rsidR="008B39AB" w:rsidRPr="00A148EA" w:rsidRDefault="008B39AB" w:rsidP="008B39AB">
      <w:pPr>
        <w:spacing w:line="360" w:lineRule="auto"/>
        <w:ind w:left="720"/>
        <w:rPr>
          <w:lang w:val="en-US"/>
        </w:rPr>
      </w:pPr>
    </w:p>
    <w:p w14:paraId="0BB6598F" w14:textId="77777777" w:rsidR="00A148EA" w:rsidRPr="00A148EA" w:rsidRDefault="00A148EA" w:rsidP="00A148EA">
      <w:pPr>
        <w:spacing w:line="360" w:lineRule="auto"/>
        <w:rPr>
          <w:lang w:val="en-US"/>
        </w:rPr>
      </w:pPr>
      <w:r w:rsidRPr="00A148EA">
        <w:rPr>
          <w:lang w:val="en-US"/>
        </w:rPr>
        <w:t>Together, these figures point toward housing activity in 2025 remaining flat or only marginally above 2024 levels.</w:t>
      </w:r>
    </w:p>
    <w:p w14:paraId="6D9669AF"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243B6387">
          <v:rect id="_x0000_i1084" alt="" style="width:468pt;height:.05pt;mso-width-percent:0;mso-height-percent:0;mso-width-percent:0;mso-height-percent:0" o:hralign="center" o:hrstd="t" o:hr="t" fillcolor="#a0a0a0" stroked="f"/>
        </w:pict>
      </w:r>
    </w:p>
    <w:p w14:paraId="3E615B41" w14:textId="77777777" w:rsidR="00A148EA" w:rsidRPr="00A148EA" w:rsidRDefault="00A148EA" w:rsidP="00A148EA">
      <w:pPr>
        <w:spacing w:line="360" w:lineRule="auto"/>
        <w:rPr>
          <w:b/>
          <w:bCs/>
          <w:lang w:val="en-US"/>
        </w:rPr>
      </w:pPr>
      <w:r w:rsidRPr="00A148EA">
        <w:rPr>
          <w:b/>
          <w:bCs/>
          <w:lang w:val="en-US"/>
        </w:rPr>
        <w:t>Risks and Uncertainties</w:t>
      </w:r>
    </w:p>
    <w:p w14:paraId="37F6B00B" w14:textId="77777777" w:rsidR="00A148EA" w:rsidRDefault="00A148EA" w:rsidP="00A148EA">
      <w:pPr>
        <w:spacing w:line="360" w:lineRule="auto"/>
        <w:rPr>
          <w:lang w:val="en-US"/>
        </w:rPr>
      </w:pPr>
      <w:r w:rsidRPr="00A148EA">
        <w:rPr>
          <w:lang w:val="en-US"/>
        </w:rPr>
        <w:t>Tariff policy, monetary uncertainty, and geopolitical instability continue to weigh on economic expectations. With no clear path forward on key policy decisions, businesses and consumers alike are exercising caution, leading to restrained investment and consumption.</w:t>
      </w:r>
    </w:p>
    <w:p w14:paraId="5197AD73" w14:textId="77777777" w:rsidR="00FC2FD5" w:rsidRPr="00A148EA" w:rsidRDefault="00FC2FD5" w:rsidP="00A148EA">
      <w:pPr>
        <w:spacing w:line="360" w:lineRule="auto"/>
        <w:rPr>
          <w:lang w:val="en-US"/>
        </w:rPr>
      </w:pPr>
    </w:p>
    <w:p w14:paraId="0DCC7143" w14:textId="77777777" w:rsidR="00A148EA" w:rsidRPr="00A148EA" w:rsidRDefault="00A148EA" w:rsidP="00A148EA">
      <w:pPr>
        <w:spacing w:line="360" w:lineRule="auto"/>
        <w:rPr>
          <w:lang w:val="en-US"/>
        </w:rPr>
      </w:pPr>
      <w:r w:rsidRPr="00A148EA">
        <w:rPr>
          <w:lang w:val="en-US"/>
        </w:rPr>
        <w:t>Until more clarity emerges—especially regarding interest rates and global trade—the housing market is likely to remain in a state of cautious limbo.</w:t>
      </w:r>
    </w:p>
    <w:p w14:paraId="7721D3F4" w14:textId="77777777" w:rsidR="00A148EA" w:rsidRPr="00A148EA" w:rsidRDefault="00A148EA" w:rsidP="00A148EA">
      <w:pPr>
        <w:spacing w:line="360" w:lineRule="auto"/>
        <w:rPr>
          <w:b/>
          <w:bCs/>
          <w:lang w:val="en-US"/>
        </w:rPr>
      </w:pPr>
      <w:r w:rsidRPr="00A148EA">
        <w:rPr>
          <w:b/>
          <w:bCs/>
          <w:noProof/>
          <w:lang w:val="en-US"/>
        </w:rPr>
      </w:r>
      <w:r w:rsidR="00A148EA" w:rsidRPr="00A148EA">
        <w:rPr>
          <w:b/>
          <w:bCs/>
          <w:noProof/>
          <w:lang w:val="en-US"/>
        </w:rPr>
        <w:pict w14:anchorId="1565E6CC">
          <v:rect id="_x0000_i1085" alt="" style="width:468pt;height:.05pt;mso-width-percent:0;mso-height-percent:0;mso-width-percent:0;mso-height-percent:0" o:hralign="center" o:hrstd="t" o:hr="t" fillcolor="#a0a0a0" stroked="f"/>
        </w:pict>
      </w:r>
    </w:p>
    <w:p w14:paraId="67CD35D1" w14:textId="77777777" w:rsidR="00A148EA" w:rsidRPr="00A148EA" w:rsidRDefault="00A148EA" w:rsidP="00A148EA">
      <w:pPr>
        <w:spacing w:line="360" w:lineRule="auto"/>
        <w:rPr>
          <w:b/>
          <w:bCs/>
          <w:lang w:val="en-US"/>
        </w:rPr>
      </w:pPr>
      <w:r w:rsidRPr="00A148EA">
        <w:rPr>
          <w:b/>
          <w:bCs/>
          <w:lang w:val="en-US"/>
        </w:rPr>
        <w:t>Conclusion</w:t>
      </w:r>
    </w:p>
    <w:p w14:paraId="46968EA2" w14:textId="77777777" w:rsidR="00A148EA" w:rsidRDefault="00A148EA" w:rsidP="00A148EA">
      <w:pPr>
        <w:spacing w:line="360" w:lineRule="auto"/>
        <w:rPr>
          <w:lang w:val="en-US"/>
        </w:rPr>
      </w:pPr>
      <w:r w:rsidRPr="00A148EA">
        <w:rPr>
          <w:lang w:val="en-US"/>
        </w:rPr>
        <w:t>The U.S. housing market in 2025 is navigating a complex macroeconomic environment. While the fundamentals remain intact, the overlay of policy-driven uncertainty and fragile consumer confidence is dampening both buyer enthusiasm and seller expectations. While forecasts suggest improvement in the second half, this will depend heavily on a cooling economy and corresponding rate relief from the Federal Reserve.</w:t>
      </w:r>
    </w:p>
    <w:p w14:paraId="658443E4" w14:textId="77777777" w:rsidR="00FC2FD5" w:rsidRPr="00A148EA" w:rsidRDefault="00FC2FD5" w:rsidP="00A148EA">
      <w:pPr>
        <w:spacing w:line="360" w:lineRule="auto"/>
        <w:rPr>
          <w:lang w:val="en-US"/>
        </w:rPr>
      </w:pPr>
    </w:p>
    <w:p w14:paraId="18EAB26C" w14:textId="77777777" w:rsidR="00A148EA" w:rsidRPr="00A148EA" w:rsidRDefault="00A148EA" w:rsidP="00A148EA">
      <w:pPr>
        <w:spacing w:line="360" w:lineRule="auto"/>
        <w:rPr>
          <w:lang w:val="en-US"/>
        </w:rPr>
      </w:pPr>
      <w:r w:rsidRPr="00A148EA">
        <w:rPr>
          <w:lang w:val="en-US"/>
        </w:rPr>
        <w:t>For real-time updates and in-depth local market insights, please visit the FMLS Market Intel platform. We update our data weekly to help you stay informed and ahead of the curve.</w:t>
      </w:r>
    </w:p>
    <w:p w14:paraId="005D26E0" w14:textId="77777777" w:rsidR="00721809" w:rsidRDefault="00721809" w:rsidP="00A148EA">
      <w:pPr>
        <w:spacing w:line="360" w:lineRule="auto"/>
        <w:rPr>
          <w:b/>
          <w:bCs/>
          <w:lang w:val="en-US"/>
        </w:rPr>
      </w:pPr>
    </w:p>
    <w:p w14:paraId="7ECB9D57" w14:textId="44049F39" w:rsidR="00A148EA" w:rsidRPr="00A148EA" w:rsidRDefault="00A148EA" w:rsidP="00A148EA">
      <w:pPr>
        <w:spacing w:line="360" w:lineRule="auto"/>
        <w:rPr>
          <w:lang w:val="en-US"/>
        </w:rPr>
      </w:pPr>
      <w:r w:rsidRPr="00A148EA">
        <w:rPr>
          <w:lang w:val="en-US"/>
        </w:rPr>
        <w:lastRenderedPageBreak/>
        <w:t>Leslie Appleton Young</w:t>
      </w:r>
      <w:r w:rsidRPr="00A148EA">
        <w:rPr>
          <w:lang w:val="en-US"/>
        </w:rPr>
        <w:br/>
        <w:t>Chief Economist, FMLS</w:t>
      </w:r>
    </w:p>
    <w:p w14:paraId="62CA1E7A" w14:textId="77777777" w:rsidR="001A2405" w:rsidRDefault="001A2405" w:rsidP="00615BAB">
      <w:pPr>
        <w:spacing w:line="360" w:lineRule="auto"/>
        <w:rPr>
          <w:lang w:val="en-US"/>
        </w:rPr>
      </w:pPr>
    </w:p>
    <w:p w14:paraId="4613DAE2" w14:textId="0D23A3CB" w:rsidR="00922A2B" w:rsidRPr="00922A2B" w:rsidRDefault="00922A2B" w:rsidP="00922A2B">
      <w:pPr>
        <w:spacing w:line="360" w:lineRule="auto"/>
        <w:rPr>
          <w:lang w:val="en-US"/>
        </w:rPr>
      </w:pPr>
    </w:p>
    <w:p w14:paraId="00000016" w14:textId="77777777" w:rsidR="00E05160" w:rsidRDefault="00E05160" w:rsidP="00F65ACF">
      <w:pPr>
        <w:spacing w:line="360" w:lineRule="auto"/>
      </w:pPr>
    </w:p>
    <w:p w14:paraId="00000017" w14:textId="77777777" w:rsidR="00E05160" w:rsidRDefault="00E05160" w:rsidP="00F65ACF">
      <w:pPr>
        <w:spacing w:line="360" w:lineRule="auto"/>
      </w:pPr>
    </w:p>
    <w:p w14:paraId="00000018" w14:textId="77777777" w:rsidR="00E05160" w:rsidRDefault="00E05160" w:rsidP="00F65ACF">
      <w:pPr>
        <w:spacing w:line="360" w:lineRule="auto"/>
      </w:pPr>
    </w:p>
    <w:p w14:paraId="00000019" w14:textId="77777777" w:rsidR="00E05160" w:rsidRDefault="00E05160" w:rsidP="00F65ACF">
      <w:pPr>
        <w:spacing w:line="360" w:lineRule="auto"/>
      </w:pPr>
    </w:p>
    <w:p w14:paraId="0000001A" w14:textId="77777777" w:rsidR="00E05160" w:rsidRDefault="00E05160" w:rsidP="00F65ACF">
      <w:pPr>
        <w:spacing w:line="360" w:lineRule="auto"/>
      </w:pPr>
    </w:p>
    <w:sectPr w:rsidR="00E051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32D3" w14:textId="77777777" w:rsidR="008D76DB" w:rsidRDefault="008D76DB" w:rsidP="00922A2B">
      <w:pPr>
        <w:spacing w:line="240" w:lineRule="auto"/>
      </w:pPr>
      <w:r>
        <w:separator/>
      </w:r>
    </w:p>
  </w:endnote>
  <w:endnote w:type="continuationSeparator" w:id="0">
    <w:p w14:paraId="234C6B31" w14:textId="77777777" w:rsidR="008D76DB" w:rsidRDefault="008D76DB" w:rsidP="0092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FF7E" w14:textId="77777777" w:rsidR="008D76DB" w:rsidRDefault="008D76DB" w:rsidP="00922A2B">
      <w:pPr>
        <w:spacing w:line="240" w:lineRule="auto"/>
      </w:pPr>
      <w:r>
        <w:separator/>
      </w:r>
    </w:p>
  </w:footnote>
  <w:footnote w:type="continuationSeparator" w:id="0">
    <w:p w14:paraId="308A0237" w14:textId="77777777" w:rsidR="008D76DB" w:rsidRDefault="008D76DB" w:rsidP="00922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D55"/>
    <w:multiLevelType w:val="multilevel"/>
    <w:tmpl w:val="DBB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65CEF"/>
    <w:multiLevelType w:val="multilevel"/>
    <w:tmpl w:val="FEC6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6737"/>
    <w:multiLevelType w:val="multilevel"/>
    <w:tmpl w:val="E8A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279BD"/>
    <w:multiLevelType w:val="multilevel"/>
    <w:tmpl w:val="35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46D1D"/>
    <w:multiLevelType w:val="multilevel"/>
    <w:tmpl w:val="9D12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262E4"/>
    <w:multiLevelType w:val="multilevel"/>
    <w:tmpl w:val="34E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E76B9"/>
    <w:multiLevelType w:val="multilevel"/>
    <w:tmpl w:val="D18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24230"/>
    <w:multiLevelType w:val="multilevel"/>
    <w:tmpl w:val="D91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34BE8"/>
    <w:multiLevelType w:val="multilevel"/>
    <w:tmpl w:val="7FC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D2C1F"/>
    <w:multiLevelType w:val="multilevel"/>
    <w:tmpl w:val="B344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222BA"/>
    <w:multiLevelType w:val="multilevel"/>
    <w:tmpl w:val="DA4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82B07"/>
    <w:multiLevelType w:val="multilevel"/>
    <w:tmpl w:val="D2709C8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2B440E77"/>
    <w:multiLevelType w:val="multilevel"/>
    <w:tmpl w:val="54C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D48E2"/>
    <w:multiLevelType w:val="multilevel"/>
    <w:tmpl w:val="90A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06CB3"/>
    <w:multiLevelType w:val="multilevel"/>
    <w:tmpl w:val="A53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95944"/>
    <w:multiLevelType w:val="multilevel"/>
    <w:tmpl w:val="B15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C0959"/>
    <w:multiLevelType w:val="multilevel"/>
    <w:tmpl w:val="AEB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D1677"/>
    <w:multiLevelType w:val="multilevel"/>
    <w:tmpl w:val="343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A1879"/>
    <w:multiLevelType w:val="multilevel"/>
    <w:tmpl w:val="33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23AE6"/>
    <w:multiLevelType w:val="multilevel"/>
    <w:tmpl w:val="AEE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50796"/>
    <w:multiLevelType w:val="multilevel"/>
    <w:tmpl w:val="65C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D1749"/>
    <w:multiLevelType w:val="multilevel"/>
    <w:tmpl w:val="F14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D053B"/>
    <w:multiLevelType w:val="multilevel"/>
    <w:tmpl w:val="BAE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66FB3"/>
    <w:multiLevelType w:val="multilevel"/>
    <w:tmpl w:val="C82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57D00"/>
    <w:multiLevelType w:val="multilevel"/>
    <w:tmpl w:val="97E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F2B5C"/>
    <w:multiLevelType w:val="multilevel"/>
    <w:tmpl w:val="349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064E0"/>
    <w:multiLevelType w:val="multilevel"/>
    <w:tmpl w:val="491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14023"/>
    <w:multiLevelType w:val="multilevel"/>
    <w:tmpl w:val="8312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68118">
    <w:abstractNumId w:val="14"/>
  </w:num>
  <w:num w:numId="2" w16cid:durableId="1070619644">
    <w:abstractNumId w:val="12"/>
  </w:num>
  <w:num w:numId="3" w16cid:durableId="502085978">
    <w:abstractNumId w:val="16"/>
  </w:num>
  <w:num w:numId="4" w16cid:durableId="29694018">
    <w:abstractNumId w:val="26"/>
  </w:num>
  <w:num w:numId="5" w16cid:durableId="1912275878">
    <w:abstractNumId w:val="19"/>
  </w:num>
  <w:num w:numId="6" w16cid:durableId="546526850">
    <w:abstractNumId w:val="3"/>
  </w:num>
  <w:num w:numId="7" w16cid:durableId="816187804">
    <w:abstractNumId w:val="27"/>
  </w:num>
  <w:num w:numId="8" w16cid:durableId="30814078">
    <w:abstractNumId w:val="25"/>
  </w:num>
  <w:num w:numId="9" w16cid:durableId="1033725545">
    <w:abstractNumId w:val="7"/>
  </w:num>
  <w:num w:numId="10" w16cid:durableId="892303162">
    <w:abstractNumId w:val="11"/>
  </w:num>
  <w:num w:numId="11" w16cid:durableId="1231622416">
    <w:abstractNumId w:val="18"/>
  </w:num>
  <w:num w:numId="12" w16cid:durableId="1215655984">
    <w:abstractNumId w:val="15"/>
  </w:num>
  <w:num w:numId="13" w16cid:durableId="377122985">
    <w:abstractNumId w:val="9"/>
  </w:num>
  <w:num w:numId="14" w16cid:durableId="388385613">
    <w:abstractNumId w:val="5"/>
  </w:num>
  <w:num w:numId="15" w16cid:durableId="209388184">
    <w:abstractNumId w:val="20"/>
  </w:num>
  <w:num w:numId="16" w16cid:durableId="1106731256">
    <w:abstractNumId w:val="13"/>
  </w:num>
  <w:num w:numId="17" w16cid:durableId="411899581">
    <w:abstractNumId w:val="17"/>
  </w:num>
  <w:num w:numId="18" w16cid:durableId="2019771815">
    <w:abstractNumId w:val="2"/>
  </w:num>
  <w:num w:numId="19" w16cid:durableId="1066337872">
    <w:abstractNumId w:val="23"/>
  </w:num>
  <w:num w:numId="20" w16cid:durableId="42605532">
    <w:abstractNumId w:val="21"/>
  </w:num>
  <w:num w:numId="21" w16cid:durableId="1590117394">
    <w:abstractNumId w:val="0"/>
  </w:num>
  <w:num w:numId="22" w16cid:durableId="1351877271">
    <w:abstractNumId w:val="10"/>
  </w:num>
  <w:num w:numId="23" w16cid:durableId="793404155">
    <w:abstractNumId w:val="4"/>
  </w:num>
  <w:num w:numId="24" w16cid:durableId="1482310470">
    <w:abstractNumId w:val="1"/>
  </w:num>
  <w:num w:numId="25" w16cid:durableId="1147356796">
    <w:abstractNumId w:val="8"/>
  </w:num>
  <w:num w:numId="26" w16cid:durableId="1257404179">
    <w:abstractNumId w:val="22"/>
  </w:num>
  <w:num w:numId="27" w16cid:durableId="1963532251">
    <w:abstractNumId w:val="6"/>
  </w:num>
  <w:num w:numId="28" w16cid:durableId="1109395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60"/>
    <w:rsid w:val="0000794B"/>
    <w:rsid w:val="000175C2"/>
    <w:rsid w:val="00037DED"/>
    <w:rsid w:val="00055C13"/>
    <w:rsid w:val="000642B4"/>
    <w:rsid w:val="0007265C"/>
    <w:rsid w:val="0008562E"/>
    <w:rsid w:val="000A5F68"/>
    <w:rsid w:val="000E01FA"/>
    <w:rsid w:val="000F45E9"/>
    <w:rsid w:val="000F7D49"/>
    <w:rsid w:val="00101103"/>
    <w:rsid w:val="001344A4"/>
    <w:rsid w:val="001A2405"/>
    <w:rsid w:val="001A531B"/>
    <w:rsid w:val="001B093F"/>
    <w:rsid w:val="001D5AEC"/>
    <w:rsid w:val="002C05C5"/>
    <w:rsid w:val="002E3A53"/>
    <w:rsid w:val="00327533"/>
    <w:rsid w:val="003365E6"/>
    <w:rsid w:val="003447E0"/>
    <w:rsid w:val="003C5EFA"/>
    <w:rsid w:val="003C7A9B"/>
    <w:rsid w:val="00401117"/>
    <w:rsid w:val="0049646D"/>
    <w:rsid w:val="004E0136"/>
    <w:rsid w:val="00512D2E"/>
    <w:rsid w:val="00532247"/>
    <w:rsid w:val="005A0DB9"/>
    <w:rsid w:val="005B37A5"/>
    <w:rsid w:val="005F2840"/>
    <w:rsid w:val="00615BAB"/>
    <w:rsid w:val="00624612"/>
    <w:rsid w:val="00693215"/>
    <w:rsid w:val="006C24A9"/>
    <w:rsid w:val="006C4168"/>
    <w:rsid w:val="006C7AF8"/>
    <w:rsid w:val="00721809"/>
    <w:rsid w:val="007E6574"/>
    <w:rsid w:val="007F49DD"/>
    <w:rsid w:val="008A6493"/>
    <w:rsid w:val="008B39AB"/>
    <w:rsid w:val="008B4DB8"/>
    <w:rsid w:val="008D76DB"/>
    <w:rsid w:val="008E3714"/>
    <w:rsid w:val="00922A2B"/>
    <w:rsid w:val="009336A7"/>
    <w:rsid w:val="009376FD"/>
    <w:rsid w:val="009626D1"/>
    <w:rsid w:val="009810FD"/>
    <w:rsid w:val="009D4F6C"/>
    <w:rsid w:val="00A142EA"/>
    <w:rsid w:val="00A148EA"/>
    <w:rsid w:val="00AC645E"/>
    <w:rsid w:val="00B01D81"/>
    <w:rsid w:val="00B3724F"/>
    <w:rsid w:val="00B40110"/>
    <w:rsid w:val="00B578E6"/>
    <w:rsid w:val="00B641B7"/>
    <w:rsid w:val="00BA2D52"/>
    <w:rsid w:val="00BC74AB"/>
    <w:rsid w:val="00BD534C"/>
    <w:rsid w:val="00BD6CAB"/>
    <w:rsid w:val="00C21649"/>
    <w:rsid w:val="00C23F37"/>
    <w:rsid w:val="00C30A33"/>
    <w:rsid w:val="00C3799D"/>
    <w:rsid w:val="00C757E8"/>
    <w:rsid w:val="00D24CA0"/>
    <w:rsid w:val="00D31972"/>
    <w:rsid w:val="00D347D4"/>
    <w:rsid w:val="00D5401F"/>
    <w:rsid w:val="00D8157F"/>
    <w:rsid w:val="00E05160"/>
    <w:rsid w:val="00EA08FD"/>
    <w:rsid w:val="00F65ACF"/>
    <w:rsid w:val="00FC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DE4AE0"/>
  <w15:docId w15:val="{F30B574D-9D11-4143-BB19-4E711FF2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2A2B"/>
    <w:pPr>
      <w:tabs>
        <w:tab w:val="center" w:pos="4680"/>
        <w:tab w:val="right" w:pos="9360"/>
      </w:tabs>
      <w:spacing w:line="240" w:lineRule="auto"/>
    </w:pPr>
  </w:style>
  <w:style w:type="character" w:customStyle="1" w:styleId="HeaderChar">
    <w:name w:val="Header Char"/>
    <w:basedOn w:val="DefaultParagraphFont"/>
    <w:link w:val="Header"/>
    <w:uiPriority w:val="99"/>
    <w:rsid w:val="00922A2B"/>
  </w:style>
  <w:style w:type="paragraph" w:styleId="Footer">
    <w:name w:val="footer"/>
    <w:basedOn w:val="Normal"/>
    <w:link w:val="FooterChar"/>
    <w:uiPriority w:val="99"/>
    <w:unhideWhenUsed/>
    <w:rsid w:val="00922A2B"/>
    <w:pPr>
      <w:tabs>
        <w:tab w:val="center" w:pos="4680"/>
        <w:tab w:val="right" w:pos="9360"/>
      </w:tabs>
      <w:spacing w:line="240" w:lineRule="auto"/>
    </w:pPr>
  </w:style>
  <w:style w:type="character" w:customStyle="1" w:styleId="FooterChar">
    <w:name w:val="Footer Char"/>
    <w:basedOn w:val="DefaultParagraphFont"/>
    <w:link w:val="Footer"/>
    <w:uiPriority w:val="99"/>
    <w:rsid w:val="00922A2B"/>
  </w:style>
  <w:style w:type="paragraph" w:styleId="ListParagraph">
    <w:name w:val="List Paragraph"/>
    <w:basedOn w:val="Normal"/>
    <w:uiPriority w:val="34"/>
    <w:qFormat/>
    <w:rsid w:val="0003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638">
      <w:bodyDiv w:val="1"/>
      <w:marLeft w:val="0"/>
      <w:marRight w:val="0"/>
      <w:marTop w:val="0"/>
      <w:marBottom w:val="0"/>
      <w:divBdr>
        <w:top w:val="none" w:sz="0" w:space="0" w:color="auto"/>
        <w:left w:val="none" w:sz="0" w:space="0" w:color="auto"/>
        <w:bottom w:val="none" w:sz="0" w:space="0" w:color="auto"/>
        <w:right w:val="none" w:sz="0" w:space="0" w:color="auto"/>
      </w:divBdr>
      <w:divsChild>
        <w:div w:id="3440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34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33012">
      <w:bodyDiv w:val="1"/>
      <w:marLeft w:val="0"/>
      <w:marRight w:val="0"/>
      <w:marTop w:val="0"/>
      <w:marBottom w:val="0"/>
      <w:divBdr>
        <w:top w:val="none" w:sz="0" w:space="0" w:color="auto"/>
        <w:left w:val="none" w:sz="0" w:space="0" w:color="auto"/>
        <w:bottom w:val="none" w:sz="0" w:space="0" w:color="auto"/>
        <w:right w:val="none" w:sz="0" w:space="0" w:color="auto"/>
      </w:divBdr>
    </w:div>
    <w:div w:id="108621456">
      <w:bodyDiv w:val="1"/>
      <w:marLeft w:val="0"/>
      <w:marRight w:val="0"/>
      <w:marTop w:val="0"/>
      <w:marBottom w:val="0"/>
      <w:divBdr>
        <w:top w:val="none" w:sz="0" w:space="0" w:color="auto"/>
        <w:left w:val="none" w:sz="0" w:space="0" w:color="auto"/>
        <w:bottom w:val="none" w:sz="0" w:space="0" w:color="auto"/>
        <w:right w:val="none" w:sz="0" w:space="0" w:color="auto"/>
      </w:divBdr>
    </w:div>
    <w:div w:id="156577559">
      <w:bodyDiv w:val="1"/>
      <w:marLeft w:val="0"/>
      <w:marRight w:val="0"/>
      <w:marTop w:val="0"/>
      <w:marBottom w:val="0"/>
      <w:divBdr>
        <w:top w:val="none" w:sz="0" w:space="0" w:color="auto"/>
        <w:left w:val="none" w:sz="0" w:space="0" w:color="auto"/>
        <w:bottom w:val="none" w:sz="0" w:space="0" w:color="auto"/>
        <w:right w:val="none" w:sz="0" w:space="0" w:color="auto"/>
      </w:divBdr>
      <w:divsChild>
        <w:div w:id="42107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6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867112">
      <w:bodyDiv w:val="1"/>
      <w:marLeft w:val="0"/>
      <w:marRight w:val="0"/>
      <w:marTop w:val="0"/>
      <w:marBottom w:val="0"/>
      <w:divBdr>
        <w:top w:val="none" w:sz="0" w:space="0" w:color="auto"/>
        <w:left w:val="none" w:sz="0" w:space="0" w:color="auto"/>
        <w:bottom w:val="none" w:sz="0" w:space="0" w:color="auto"/>
        <w:right w:val="none" w:sz="0" w:space="0" w:color="auto"/>
      </w:divBdr>
    </w:div>
    <w:div w:id="402871769">
      <w:bodyDiv w:val="1"/>
      <w:marLeft w:val="0"/>
      <w:marRight w:val="0"/>
      <w:marTop w:val="0"/>
      <w:marBottom w:val="0"/>
      <w:divBdr>
        <w:top w:val="none" w:sz="0" w:space="0" w:color="auto"/>
        <w:left w:val="none" w:sz="0" w:space="0" w:color="auto"/>
        <w:bottom w:val="none" w:sz="0" w:space="0" w:color="auto"/>
        <w:right w:val="none" w:sz="0" w:space="0" w:color="auto"/>
      </w:divBdr>
    </w:div>
    <w:div w:id="522939859">
      <w:bodyDiv w:val="1"/>
      <w:marLeft w:val="0"/>
      <w:marRight w:val="0"/>
      <w:marTop w:val="0"/>
      <w:marBottom w:val="0"/>
      <w:divBdr>
        <w:top w:val="none" w:sz="0" w:space="0" w:color="auto"/>
        <w:left w:val="none" w:sz="0" w:space="0" w:color="auto"/>
        <w:bottom w:val="none" w:sz="0" w:space="0" w:color="auto"/>
        <w:right w:val="none" w:sz="0" w:space="0" w:color="auto"/>
      </w:divBdr>
    </w:div>
    <w:div w:id="585237484">
      <w:bodyDiv w:val="1"/>
      <w:marLeft w:val="0"/>
      <w:marRight w:val="0"/>
      <w:marTop w:val="0"/>
      <w:marBottom w:val="0"/>
      <w:divBdr>
        <w:top w:val="none" w:sz="0" w:space="0" w:color="auto"/>
        <w:left w:val="none" w:sz="0" w:space="0" w:color="auto"/>
        <w:bottom w:val="none" w:sz="0" w:space="0" w:color="auto"/>
        <w:right w:val="none" w:sz="0" w:space="0" w:color="auto"/>
      </w:divBdr>
      <w:divsChild>
        <w:div w:id="44966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76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035657">
      <w:bodyDiv w:val="1"/>
      <w:marLeft w:val="0"/>
      <w:marRight w:val="0"/>
      <w:marTop w:val="0"/>
      <w:marBottom w:val="0"/>
      <w:divBdr>
        <w:top w:val="none" w:sz="0" w:space="0" w:color="auto"/>
        <w:left w:val="none" w:sz="0" w:space="0" w:color="auto"/>
        <w:bottom w:val="none" w:sz="0" w:space="0" w:color="auto"/>
        <w:right w:val="none" w:sz="0" w:space="0" w:color="auto"/>
      </w:divBdr>
      <w:divsChild>
        <w:div w:id="56009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425980">
      <w:bodyDiv w:val="1"/>
      <w:marLeft w:val="0"/>
      <w:marRight w:val="0"/>
      <w:marTop w:val="0"/>
      <w:marBottom w:val="0"/>
      <w:divBdr>
        <w:top w:val="none" w:sz="0" w:space="0" w:color="auto"/>
        <w:left w:val="none" w:sz="0" w:space="0" w:color="auto"/>
        <w:bottom w:val="none" w:sz="0" w:space="0" w:color="auto"/>
        <w:right w:val="none" w:sz="0" w:space="0" w:color="auto"/>
      </w:divBdr>
    </w:div>
    <w:div w:id="748498721">
      <w:bodyDiv w:val="1"/>
      <w:marLeft w:val="0"/>
      <w:marRight w:val="0"/>
      <w:marTop w:val="0"/>
      <w:marBottom w:val="0"/>
      <w:divBdr>
        <w:top w:val="none" w:sz="0" w:space="0" w:color="auto"/>
        <w:left w:val="none" w:sz="0" w:space="0" w:color="auto"/>
        <w:bottom w:val="none" w:sz="0" w:space="0" w:color="auto"/>
        <w:right w:val="none" w:sz="0" w:space="0" w:color="auto"/>
      </w:divBdr>
    </w:div>
    <w:div w:id="861671377">
      <w:bodyDiv w:val="1"/>
      <w:marLeft w:val="0"/>
      <w:marRight w:val="0"/>
      <w:marTop w:val="0"/>
      <w:marBottom w:val="0"/>
      <w:divBdr>
        <w:top w:val="none" w:sz="0" w:space="0" w:color="auto"/>
        <w:left w:val="none" w:sz="0" w:space="0" w:color="auto"/>
        <w:bottom w:val="none" w:sz="0" w:space="0" w:color="auto"/>
        <w:right w:val="none" w:sz="0" w:space="0" w:color="auto"/>
      </w:divBdr>
    </w:div>
    <w:div w:id="958031234">
      <w:bodyDiv w:val="1"/>
      <w:marLeft w:val="0"/>
      <w:marRight w:val="0"/>
      <w:marTop w:val="0"/>
      <w:marBottom w:val="0"/>
      <w:divBdr>
        <w:top w:val="none" w:sz="0" w:space="0" w:color="auto"/>
        <w:left w:val="none" w:sz="0" w:space="0" w:color="auto"/>
        <w:bottom w:val="none" w:sz="0" w:space="0" w:color="auto"/>
        <w:right w:val="none" w:sz="0" w:space="0" w:color="auto"/>
      </w:divBdr>
    </w:div>
    <w:div w:id="1123812421">
      <w:bodyDiv w:val="1"/>
      <w:marLeft w:val="0"/>
      <w:marRight w:val="0"/>
      <w:marTop w:val="0"/>
      <w:marBottom w:val="0"/>
      <w:divBdr>
        <w:top w:val="none" w:sz="0" w:space="0" w:color="auto"/>
        <w:left w:val="none" w:sz="0" w:space="0" w:color="auto"/>
        <w:bottom w:val="none" w:sz="0" w:space="0" w:color="auto"/>
        <w:right w:val="none" w:sz="0" w:space="0" w:color="auto"/>
      </w:divBdr>
      <w:divsChild>
        <w:div w:id="1973510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00697">
      <w:bodyDiv w:val="1"/>
      <w:marLeft w:val="0"/>
      <w:marRight w:val="0"/>
      <w:marTop w:val="0"/>
      <w:marBottom w:val="0"/>
      <w:divBdr>
        <w:top w:val="none" w:sz="0" w:space="0" w:color="auto"/>
        <w:left w:val="none" w:sz="0" w:space="0" w:color="auto"/>
        <w:bottom w:val="none" w:sz="0" w:space="0" w:color="auto"/>
        <w:right w:val="none" w:sz="0" w:space="0" w:color="auto"/>
      </w:divBdr>
      <w:divsChild>
        <w:div w:id="172124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5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887473">
      <w:bodyDiv w:val="1"/>
      <w:marLeft w:val="0"/>
      <w:marRight w:val="0"/>
      <w:marTop w:val="0"/>
      <w:marBottom w:val="0"/>
      <w:divBdr>
        <w:top w:val="none" w:sz="0" w:space="0" w:color="auto"/>
        <w:left w:val="none" w:sz="0" w:space="0" w:color="auto"/>
        <w:bottom w:val="none" w:sz="0" w:space="0" w:color="auto"/>
        <w:right w:val="none" w:sz="0" w:space="0" w:color="auto"/>
      </w:divBdr>
    </w:div>
    <w:div w:id="1409769006">
      <w:bodyDiv w:val="1"/>
      <w:marLeft w:val="0"/>
      <w:marRight w:val="0"/>
      <w:marTop w:val="0"/>
      <w:marBottom w:val="0"/>
      <w:divBdr>
        <w:top w:val="none" w:sz="0" w:space="0" w:color="auto"/>
        <w:left w:val="none" w:sz="0" w:space="0" w:color="auto"/>
        <w:bottom w:val="none" w:sz="0" w:space="0" w:color="auto"/>
        <w:right w:val="none" w:sz="0" w:space="0" w:color="auto"/>
      </w:divBdr>
      <w:divsChild>
        <w:div w:id="595017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1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554025">
      <w:bodyDiv w:val="1"/>
      <w:marLeft w:val="0"/>
      <w:marRight w:val="0"/>
      <w:marTop w:val="0"/>
      <w:marBottom w:val="0"/>
      <w:divBdr>
        <w:top w:val="none" w:sz="0" w:space="0" w:color="auto"/>
        <w:left w:val="none" w:sz="0" w:space="0" w:color="auto"/>
        <w:bottom w:val="none" w:sz="0" w:space="0" w:color="auto"/>
        <w:right w:val="none" w:sz="0" w:space="0" w:color="auto"/>
      </w:divBdr>
    </w:div>
    <w:div w:id="1514223070">
      <w:bodyDiv w:val="1"/>
      <w:marLeft w:val="0"/>
      <w:marRight w:val="0"/>
      <w:marTop w:val="0"/>
      <w:marBottom w:val="0"/>
      <w:divBdr>
        <w:top w:val="none" w:sz="0" w:space="0" w:color="auto"/>
        <w:left w:val="none" w:sz="0" w:space="0" w:color="auto"/>
        <w:bottom w:val="none" w:sz="0" w:space="0" w:color="auto"/>
        <w:right w:val="none" w:sz="0" w:space="0" w:color="auto"/>
      </w:divBdr>
    </w:div>
    <w:div w:id="1658996375">
      <w:bodyDiv w:val="1"/>
      <w:marLeft w:val="0"/>
      <w:marRight w:val="0"/>
      <w:marTop w:val="0"/>
      <w:marBottom w:val="0"/>
      <w:divBdr>
        <w:top w:val="none" w:sz="0" w:space="0" w:color="auto"/>
        <w:left w:val="none" w:sz="0" w:space="0" w:color="auto"/>
        <w:bottom w:val="none" w:sz="0" w:space="0" w:color="auto"/>
        <w:right w:val="none" w:sz="0" w:space="0" w:color="auto"/>
      </w:divBdr>
    </w:div>
    <w:div w:id="1773361287">
      <w:bodyDiv w:val="1"/>
      <w:marLeft w:val="0"/>
      <w:marRight w:val="0"/>
      <w:marTop w:val="0"/>
      <w:marBottom w:val="0"/>
      <w:divBdr>
        <w:top w:val="none" w:sz="0" w:space="0" w:color="auto"/>
        <w:left w:val="none" w:sz="0" w:space="0" w:color="auto"/>
        <w:bottom w:val="none" w:sz="0" w:space="0" w:color="auto"/>
        <w:right w:val="none" w:sz="0" w:space="0" w:color="auto"/>
      </w:divBdr>
    </w:div>
    <w:div w:id="1838113108">
      <w:bodyDiv w:val="1"/>
      <w:marLeft w:val="0"/>
      <w:marRight w:val="0"/>
      <w:marTop w:val="0"/>
      <w:marBottom w:val="0"/>
      <w:divBdr>
        <w:top w:val="none" w:sz="0" w:space="0" w:color="auto"/>
        <w:left w:val="none" w:sz="0" w:space="0" w:color="auto"/>
        <w:bottom w:val="none" w:sz="0" w:space="0" w:color="auto"/>
        <w:right w:val="none" w:sz="0" w:space="0" w:color="auto"/>
      </w:divBdr>
      <w:divsChild>
        <w:div w:id="163571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624540">
      <w:bodyDiv w:val="1"/>
      <w:marLeft w:val="0"/>
      <w:marRight w:val="0"/>
      <w:marTop w:val="0"/>
      <w:marBottom w:val="0"/>
      <w:divBdr>
        <w:top w:val="none" w:sz="0" w:space="0" w:color="auto"/>
        <w:left w:val="none" w:sz="0" w:space="0" w:color="auto"/>
        <w:bottom w:val="none" w:sz="0" w:space="0" w:color="auto"/>
        <w:right w:val="none" w:sz="0" w:space="0" w:color="auto"/>
      </w:divBdr>
    </w:div>
    <w:div w:id="212345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 Garvin</cp:lastModifiedBy>
  <cp:revision>60</cp:revision>
  <dcterms:created xsi:type="dcterms:W3CDTF">2024-12-19T19:12:00Z</dcterms:created>
  <dcterms:modified xsi:type="dcterms:W3CDTF">2025-06-18T13:11:00Z</dcterms:modified>
</cp:coreProperties>
</file>