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3493" w14:textId="617BC2D2" w:rsidR="00922A2B" w:rsidRDefault="000F7D49" w:rsidP="00922A2B">
      <w:pPr>
        <w:spacing w:line="360" w:lineRule="auto"/>
        <w:jc w:val="center"/>
        <w:rPr>
          <w:lang w:val="en-US"/>
        </w:rPr>
      </w:pPr>
      <w:r>
        <w:rPr>
          <w:noProof/>
          <w:lang w:val="en-US"/>
        </w:rPr>
        <w:drawing>
          <wp:inline distT="0" distB="0" distL="0" distR="0" wp14:anchorId="63EDE7DA" wp14:editId="7C74C4E9">
            <wp:extent cx="2328975" cy="1112732"/>
            <wp:effectExtent l="0" t="0" r="0" b="5080"/>
            <wp:docPr id="3662213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135" name="Picture 2"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759" cy="1171873"/>
                    </a:xfrm>
                    <a:prstGeom prst="rect">
                      <a:avLst/>
                    </a:prstGeom>
                  </pic:spPr>
                </pic:pic>
              </a:graphicData>
            </a:graphic>
          </wp:inline>
        </w:drawing>
      </w:r>
    </w:p>
    <w:p w14:paraId="363F88B8" w14:textId="77777777" w:rsidR="00922A2B" w:rsidRPr="00922A2B" w:rsidRDefault="00922A2B" w:rsidP="00922A2B">
      <w:pPr>
        <w:spacing w:line="360" w:lineRule="auto"/>
        <w:jc w:val="center"/>
        <w:rPr>
          <w:lang w:val="en-US"/>
        </w:rPr>
      </w:pPr>
    </w:p>
    <w:p w14:paraId="51A22D84" w14:textId="2A485AF0" w:rsidR="00922A2B" w:rsidRPr="00922A2B" w:rsidRDefault="00BA2D52" w:rsidP="00922A2B">
      <w:pPr>
        <w:spacing w:line="360" w:lineRule="auto"/>
        <w:jc w:val="center"/>
        <w:rPr>
          <w:lang w:val="en-US"/>
        </w:rPr>
      </w:pPr>
      <w:r>
        <w:rPr>
          <w:lang w:val="en-US"/>
        </w:rPr>
        <w:t>June</w:t>
      </w:r>
      <w:r w:rsidR="00922A2B">
        <w:rPr>
          <w:lang w:val="en-US"/>
        </w:rPr>
        <w:t xml:space="preserve"> </w:t>
      </w:r>
      <w:r w:rsidR="00CF20B3">
        <w:rPr>
          <w:lang w:val="en-US"/>
        </w:rPr>
        <w:t>24</w:t>
      </w:r>
      <w:r w:rsidR="00922A2B">
        <w:rPr>
          <w:lang w:val="en-US"/>
        </w:rPr>
        <w:t>, 202</w:t>
      </w:r>
      <w:r w:rsidR="009D4F6C">
        <w:rPr>
          <w:lang w:val="en-US"/>
        </w:rPr>
        <w:t>5</w:t>
      </w:r>
    </w:p>
    <w:p w14:paraId="678AD379" w14:textId="6838CDA7" w:rsidR="007E6574" w:rsidRPr="007E6574" w:rsidRDefault="00CF20B3" w:rsidP="007E6574">
      <w:pPr>
        <w:spacing w:line="360" w:lineRule="auto"/>
        <w:rPr>
          <w:b/>
          <w:bCs/>
          <w:lang w:val="en-US"/>
        </w:rPr>
      </w:pPr>
      <w:r>
        <w:rPr>
          <w:b/>
          <w:bCs/>
          <w:noProof/>
          <w:lang w:val="en-US"/>
        </w:rPr>
      </w:r>
      <w:r w:rsidR="00CF20B3">
        <w:rPr>
          <w:b/>
          <w:bCs/>
          <w:noProof/>
          <w:lang w:val="en-US"/>
        </w:rPr>
        <w:pict w14:anchorId="689996DC">
          <v:rect id="_x0000_i1025" alt="" style="width:468pt;height:.05pt;mso-width-percent:0;mso-height-percent:0;mso-width-percent:0;mso-height-percent:0" o:hralign="center" o:hrstd="t" o:hr="t" fillcolor="#a0a0a0" stroked="f"/>
        </w:pict>
      </w:r>
    </w:p>
    <w:p w14:paraId="7D2AF2A5" w14:textId="7764D00B" w:rsidR="00A148EA" w:rsidRPr="00A148EA" w:rsidRDefault="007E6574" w:rsidP="00A148EA">
      <w:pPr>
        <w:spacing w:line="360" w:lineRule="auto"/>
        <w:rPr>
          <w:b/>
          <w:bCs/>
          <w:lang w:val="en-US"/>
        </w:rPr>
      </w:pPr>
      <w:r w:rsidRPr="007E6574">
        <w:rPr>
          <w:b/>
          <w:bCs/>
          <w:lang w:val="en-US"/>
        </w:rPr>
        <w:t>Economic Report: Insights into Today’s Housing Market</w:t>
      </w:r>
    </w:p>
    <w:p w14:paraId="53E79142" w14:textId="300C2B32" w:rsidR="00BB6C87" w:rsidRPr="00A148EA" w:rsidRDefault="00A148EA" w:rsidP="00A148EA">
      <w:pPr>
        <w:spacing w:line="360" w:lineRule="auto"/>
        <w:rPr>
          <w:b/>
          <w:bCs/>
          <w:lang w:val="en-US"/>
        </w:rPr>
      </w:pPr>
      <w:r w:rsidRPr="00A148EA">
        <w:rPr>
          <w:b/>
          <w:bCs/>
          <w:lang w:val="en-US"/>
        </w:rPr>
        <w:t>FMLS Market Intel Report</w:t>
      </w:r>
      <w:r w:rsidRPr="00A148EA">
        <w:rPr>
          <w:b/>
          <w:bCs/>
          <w:lang w:val="en-US"/>
        </w:rPr>
        <w:br/>
        <w:t>Prepared by Leslie Appleton Young, Chief Economist, FMLS</w:t>
      </w:r>
      <w:r w:rsidRPr="00A148EA">
        <w:rPr>
          <w:b/>
          <w:bCs/>
          <w:lang w:val="en-US"/>
        </w:rPr>
        <w:br/>
        <w:t>June 2025</w:t>
      </w:r>
    </w:p>
    <w:p w14:paraId="1728CABB" w14:textId="77777777" w:rsidR="00A148EA" w:rsidRPr="00A148EA" w:rsidRDefault="00CF20B3" w:rsidP="00A148EA">
      <w:pPr>
        <w:spacing w:line="360" w:lineRule="auto"/>
        <w:rPr>
          <w:b/>
          <w:bCs/>
          <w:lang w:val="en-US"/>
        </w:rPr>
      </w:pPr>
      <w:r>
        <w:rPr>
          <w:b/>
          <w:bCs/>
          <w:noProof/>
          <w:lang w:val="en-US"/>
        </w:rPr>
      </w:r>
      <w:r w:rsidR="00CF20B3">
        <w:rPr>
          <w:b/>
          <w:bCs/>
          <w:noProof/>
          <w:lang w:val="en-US"/>
        </w:rPr>
        <w:pict w14:anchorId="1A781457">
          <v:rect id="_x0000_i1026" alt="" style="width:468pt;height:.05pt;mso-width-percent:0;mso-height-percent:0;mso-width-percent:0;mso-height-percent:0" o:hralign="center" o:hrstd="t" o:hr="t" fillcolor="#a0a0a0" stroked="f"/>
        </w:pict>
      </w:r>
    </w:p>
    <w:p w14:paraId="4658A381" w14:textId="77777777" w:rsidR="002B697E" w:rsidRPr="002B697E" w:rsidRDefault="002B697E" w:rsidP="002B697E">
      <w:pPr>
        <w:spacing w:line="360" w:lineRule="auto"/>
        <w:rPr>
          <w:b/>
          <w:bCs/>
          <w:lang w:val="en-US"/>
        </w:rPr>
      </w:pPr>
      <w:r w:rsidRPr="002B697E">
        <w:rPr>
          <w:b/>
          <w:bCs/>
          <w:lang w:val="en-US"/>
        </w:rPr>
        <w:t>Overview</w:t>
      </w:r>
    </w:p>
    <w:p w14:paraId="5185627B" w14:textId="77777777" w:rsidR="002B697E" w:rsidRPr="002B697E" w:rsidRDefault="002B697E" w:rsidP="002B697E">
      <w:pPr>
        <w:spacing w:line="360" w:lineRule="auto"/>
        <w:rPr>
          <w:lang w:val="en-US"/>
        </w:rPr>
      </w:pPr>
      <w:r w:rsidRPr="002B697E">
        <w:rPr>
          <w:lang w:val="en-US"/>
        </w:rPr>
        <w:t>The housing market has entered an atypical phase marked by a simultaneous increase in inventory and stagnation—or slight decline—in home sales. Under normal market dynamics, increased inventory would lead to softer prices, greater affordability, and, ultimately, stronger sales activity. However, current conditions reflect a more complex and constrained environment. While price growth has moderated, the overall cost of housing remains high, with affordability still posing a significant barrier to entry—especially for first-time and moderate-income buyers.</w:t>
      </w:r>
    </w:p>
    <w:p w14:paraId="051FE1A1" w14:textId="77777777" w:rsidR="002B697E" w:rsidRDefault="002B697E" w:rsidP="002B697E">
      <w:pPr>
        <w:spacing w:line="360" w:lineRule="auto"/>
        <w:rPr>
          <w:lang w:val="en-US"/>
        </w:rPr>
      </w:pPr>
      <w:r w:rsidRPr="002B697E">
        <w:rPr>
          <w:lang w:val="en-US"/>
        </w:rPr>
        <w:t xml:space="preserve">At the core of the issue is a long-term and deeply entrenched housing supply shortage. The U.S. has been under-building for over 15 years, with the current estimated housing shortfall ranging between </w:t>
      </w:r>
      <w:r w:rsidRPr="002B697E">
        <w:rPr>
          <w:b/>
          <w:bCs/>
          <w:lang w:val="en-US"/>
        </w:rPr>
        <w:t>3.7 million to 5.5 million units</w:t>
      </w:r>
      <w:r w:rsidRPr="002B697E">
        <w:rPr>
          <w:lang w:val="en-US"/>
        </w:rPr>
        <w:t>, depending on the analytical approach. This shortfall is now widely recognized as a structural issue that is not improving.</w:t>
      </w:r>
    </w:p>
    <w:p w14:paraId="63690710" w14:textId="77777777" w:rsidR="00EC79EF" w:rsidRPr="002B697E" w:rsidRDefault="00EC79EF" w:rsidP="002B697E">
      <w:pPr>
        <w:spacing w:line="360" w:lineRule="auto"/>
        <w:rPr>
          <w:lang w:val="en-US"/>
        </w:rPr>
      </w:pPr>
    </w:p>
    <w:p w14:paraId="331F81E8" w14:textId="77777777" w:rsidR="002B697E" w:rsidRPr="002B697E" w:rsidRDefault="002B697E" w:rsidP="002B697E">
      <w:pPr>
        <w:spacing w:line="360" w:lineRule="auto"/>
        <w:rPr>
          <w:lang w:val="en-US"/>
        </w:rPr>
      </w:pPr>
      <w:r w:rsidRPr="002B697E">
        <w:rPr>
          <w:noProof/>
          <w:lang w:val="en-US"/>
        </w:rPr>
      </w:r>
      <w:r w:rsidR="002B697E" w:rsidRPr="002B697E">
        <w:rPr>
          <w:noProof/>
          <w:lang w:val="en-US"/>
        </w:rPr>
        <w:pict w14:anchorId="236D3411">
          <v:rect id="_x0000_i1055" alt="" style="width:468pt;height:.05pt;mso-width-percent:0;mso-height-percent:0;mso-width-percent:0;mso-height-percent:0" o:hralign="center" o:hrstd="t" o:hr="t" fillcolor="#a0a0a0" stroked="f"/>
        </w:pict>
      </w:r>
    </w:p>
    <w:p w14:paraId="5AC75F65" w14:textId="77777777" w:rsidR="002B697E" w:rsidRPr="002B697E" w:rsidRDefault="002B697E" w:rsidP="002B697E">
      <w:pPr>
        <w:spacing w:line="360" w:lineRule="auto"/>
        <w:rPr>
          <w:b/>
          <w:bCs/>
          <w:lang w:val="en-US"/>
        </w:rPr>
      </w:pPr>
      <w:r w:rsidRPr="002B697E">
        <w:rPr>
          <w:b/>
          <w:bCs/>
          <w:lang w:val="en-US"/>
        </w:rPr>
        <w:t>National Market Conditions</w:t>
      </w:r>
    </w:p>
    <w:p w14:paraId="2DA395C9" w14:textId="77777777" w:rsidR="002B697E" w:rsidRPr="002B697E" w:rsidRDefault="002B697E" w:rsidP="002B697E">
      <w:pPr>
        <w:spacing w:line="360" w:lineRule="auto"/>
        <w:rPr>
          <w:lang w:val="en-US"/>
        </w:rPr>
      </w:pPr>
      <w:r w:rsidRPr="002B697E">
        <w:rPr>
          <w:lang w:val="en-US"/>
        </w:rPr>
        <w:t xml:space="preserve">New housing starts have declined since peaking at </w:t>
      </w:r>
      <w:r w:rsidRPr="002B697E">
        <w:rPr>
          <w:b/>
          <w:bCs/>
          <w:lang w:val="en-US"/>
        </w:rPr>
        <w:t>1.78 million units in 2022</w:t>
      </w:r>
      <w:r w:rsidRPr="002B697E">
        <w:rPr>
          <w:lang w:val="en-US"/>
        </w:rPr>
        <w:t xml:space="preserve">, falling to </w:t>
      </w:r>
      <w:r w:rsidRPr="002B697E">
        <w:rPr>
          <w:b/>
          <w:bCs/>
          <w:lang w:val="en-US"/>
        </w:rPr>
        <w:t>1.37 million in 2023</w:t>
      </w:r>
      <w:r w:rsidRPr="002B697E">
        <w:rPr>
          <w:lang w:val="en-US"/>
        </w:rPr>
        <w:t xml:space="preserve">, and were down </w:t>
      </w:r>
      <w:r w:rsidRPr="002B697E">
        <w:rPr>
          <w:b/>
          <w:bCs/>
          <w:lang w:val="en-US"/>
        </w:rPr>
        <w:t>1.7% year-over-year</w:t>
      </w:r>
      <w:r w:rsidRPr="002B697E">
        <w:rPr>
          <w:lang w:val="en-US"/>
        </w:rPr>
        <w:t xml:space="preserve"> as of April 2025. The deceleration in construction is attributed to persistent headwinds facing builders, including:</w:t>
      </w:r>
    </w:p>
    <w:p w14:paraId="77B60FAA" w14:textId="77777777" w:rsidR="002B697E" w:rsidRPr="002B697E" w:rsidRDefault="002B697E" w:rsidP="002B697E">
      <w:pPr>
        <w:numPr>
          <w:ilvl w:val="0"/>
          <w:numId w:val="29"/>
        </w:numPr>
        <w:spacing w:line="360" w:lineRule="auto"/>
        <w:rPr>
          <w:lang w:val="en-US"/>
        </w:rPr>
      </w:pPr>
      <w:r w:rsidRPr="002B697E">
        <w:rPr>
          <w:b/>
          <w:bCs/>
          <w:lang w:val="en-US"/>
        </w:rPr>
        <w:t>Labor shortages</w:t>
      </w:r>
    </w:p>
    <w:p w14:paraId="1E83F02F" w14:textId="77777777" w:rsidR="002B697E" w:rsidRPr="002B697E" w:rsidRDefault="002B697E" w:rsidP="002B697E">
      <w:pPr>
        <w:numPr>
          <w:ilvl w:val="0"/>
          <w:numId w:val="29"/>
        </w:numPr>
        <w:spacing w:line="360" w:lineRule="auto"/>
        <w:rPr>
          <w:lang w:val="en-US"/>
        </w:rPr>
      </w:pPr>
      <w:r w:rsidRPr="002B697E">
        <w:rPr>
          <w:b/>
          <w:bCs/>
          <w:lang w:val="en-US"/>
        </w:rPr>
        <w:t>Rising construction and material costs</w:t>
      </w:r>
    </w:p>
    <w:p w14:paraId="11A86C50" w14:textId="6DB8FACA" w:rsidR="000A71B8" w:rsidRPr="002B697E" w:rsidRDefault="002B697E" w:rsidP="000A71B8">
      <w:pPr>
        <w:numPr>
          <w:ilvl w:val="0"/>
          <w:numId w:val="29"/>
        </w:numPr>
        <w:spacing w:line="360" w:lineRule="auto"/>
        <w:rPr>
          <w:lang w:val="en-US"/>
        </w:rPr>
      </w:pPr>
      <w:r w:rsidRPr="002B697E">
        <w:rPr>
          <w:b/>
          <w:bCs/>
          <w:lang w:val="en-US"/>
        </w:rPr>
        <w:t>Regulatory barriers at local and state levels</w:t>
      </w:r>
    </w:p>
    <w:p w14:paraId="50B90152" w14:textId="77777777" w:rsidR="002B697E" w:rsidRDefault="002B697E" w:rsidP="002B697E">
      <w:pPr>
        <w:spacing w:line="360" w:lineRule="auto"/>
        <w:rPr>
          <w:lang w:val="en-US"/>
        </w:rPr>
      </w:pPr>
      <w:r w:rsidRPr="002B697E">
        <w:rPr>
          <w:lang w:val="en-US"/>
        </w:rPr>
        <w:lastRenderedPageBreak/>
        <w:t xml:space="preserve">A 2024 survey conducted by the </w:t>
      </w:r>
      <w:r w:rsidRPr="002B697E">
        <w:rPr>
          <w:b/>
          <w:bCs/>
          <w:lang w:val="en-US"/>
        </w:rPr>
        <w:t>Associated General Contractors of America</w:t>
      </w:r>
      <w:r w:rsidRPr="002B697E">
        <w:rPr>
          <w:lang w:val="en-US"/>
        </w:rPr>
        <w:t xml:space="preserve"> reported that rising interest rates and increased construction costs are significantly delaying projects and inflating housing prices. As Pulte Group CEO Ryan Marshall succinctly stated, “While interest-rate movements can impact short-term homebuying demand, long-term market dynamics continue to benefit from a structural shortage of homes caused by years of underbuilding.”</w:t>
      </w:r>
    </w:p>
    <w:p w14:paraId="085424AC" w14:textId="77777777" w:rsidR="00EC79EF" w:rsidRPr="002B697E" w:rsidRDefault="00EC79EF" w:rsidP="002B697E">
      <w:pPr>
        <w:spacing w:line="360" w:lineRule="auto"/>
        <w:rPr>
          <w:lang w:val="en-US"/>
        </w:rPr>
      </w:pPr>
    </w:p>
    <w:p w14:paraId="6474851F" w14:textId="77777777" w:rsidR="002B697E" w:rsidRPr="002B697E" w:rsidRDefault="002B697E" w:rsidP="002B697E">
      <w:pPr>
        <w:spacing w:line="360" w:lineRule="auto"/>
        <w:rPr>
          <w:lang w:val="en-US"/>
        </w:rPr>
      </w:pPr>
      <w:r w:rsidRPr="002B697E">
        <w:rPr>
          <w:noProof/>
          <w:lang w:val="en-US"/>
        </w:rPr>
      </w:r>
      <w:r w:rsidR="002B697E" w:rsidRPr="002B697E">
        <w:rPr>
          <w:noProof/>
          <w:lang w:val="en-US"/>
        </w:rPr>
        <w:pict w14:anchorId="2F7322C1">
          <v:rect id="_x0000_i1056" alt="" style="width:468pt;height:.05pt;mso-width-percent:0;mso-height-percent:0;mso-width-percent:0;mso-height-percent:0" o:hralign="center" o:hrstd="t" o:hr="t" fillcolor="#a0a0a0" stroked="f"/>
        </w:pict>
      </w:r>
    </w:p>
    <w:p w14:paraId="6523EA66" w14:textId="77777777" w:rsidR="002B697E" w:rsidRPr="002B697E" w:rsidRDefault="002B697E" w:rsidP="002B697E">
      <w:pPr>
        <w:spacing w:line="360" w:lineRule="auto"/>
        <w:rPr>
          <w:b/>
          <w:bCs/>
          <w:lang w:val="en-US"/>
        </w:rPr>
      </w:pPr>
      <w:r w:rsidRPr="002B697E">
        <w:rPr>
          <w:b/>
          <w:bCs/>
          <w:lang w:val="en-US"/>
        </w:rPr>
        <w:t>Georgia Market Highlights</w:t>
      </w:r>
    </w:p>
    <w:p w14:paraId="2DE439BA" w14:textId="77777777" w:rsidR="002B697E" w:rsidRPr="002B697E" w:rsidRDefault="002B697E" w:rsidP="002B697E">
      <w:pPr>
        <w:spacing w:line="360" w:lineRule="auto"/>
        <w:rPr>
          <w:lang w:val="en-US"/>
        </w:rPr>
      </w:pPr>
      <w:r w:rsidRPr="002B697E">
        <w:rPr>
          <w:lang w:val="en-US"/>
        </w:rPr>
        <w:t xml:space="preserve">Despite national challenges, </w:t>
      </w:r>
      <w:r w:rsidRPr="002B697E">
        <w:rPr>
          <w:b/>
          <w:bCs/>
          <w:lang w:val="en-US"/>
        </w:rPr>
        <w:t>Georgia</w:t>
      </w:r>
      <w:r w:rsidRPr="002B697E">
        <w:rPr>
          <w:lang w:val="en-US"/>
        </w:rPr>
        <w:t xml:space="preserve"> is outperforming many other states in terms of new housing development. Robust population growth and economic expansion have fueled housing demand, with Metro Atlanta serving as a key driver of new construction.</w:t>
      </w:r>
    </w:p>
    <w:p w14:paraId="278752EA" w14:textId="77777777" w:rsidR="002B697E" w:rsidRPr="002B697E" w:rsidRDefault="002B697E" w:rsidP="002B697E">
      <w:pPr>
        <w:numPr>
          <w:ilvl w:val="0"/>
          <w:numId w:val="30"/>
        </w:numPr>
        <w:spacing w:line="360" w:lineRule="auto"/>
        <w:rPr>
          <w:lang w:val="en-US"/>
        </w:rPr>
      </w:pPr>
      <w:r w:rsidRPr="002B697E">
        <w:rPr>
          <w:lang w:val="en-US"/>
        </w:rPr>
        <w:t xml:space="preserve">The </w:t>
      </w:r>
      <w:r w:rsidRPr="002B697E">
        <w:rPr>
          <w:b/>
          <w:bCs/>
          <w:lang w:val="en-US"/>
        </w:rPr>
        <w:t>median home price in Metro Atlanta</w:t>
      </w:r>
      <w:r w:rsidRPr="002B697E">
        <w:rPr>
          <w:lang w:val="en-US"/>
        </w:rPr>
        <w:t xml:space="preserve"> is approximately </w:t>
      </w:r>
      <w:r w:rsidRPr="002B697E">
        <w:rPr>
          <w:b/>
          <w:bCs/>
          <w:lang w:val="en-US"/>
        </w:rPr>
        <w:t>$460,000</w:t>
      </w:r>
      <w:r w:rsidRPr="002B697E">
        <w:rPr>
          <w:lang w:val="en-US"/>
        </w:rPr>
        <w:t xml:space="preserve">, higher than the </w:t>
      </w:r>
      <w:r w:rsidRPr="002B697E">
        <w:rPr>
          <w:b/>
          <w:bCs/>
          <w:lang w:val="en-US"/>
        </w:rPr>
        <w:t>national median of $418,000</w:t>
      </w:r>
      <w:r w:rsidRPr="002B697E">
        <w:rPr>
          <w:lang w:val="en-US"/>
        </w:rPr>
        <w:t>, yet still significantly lower than median home prices in major metros such as:</w:t>
      </w:r>
    </w:p>
    <w:p w14:paraId="0D849348" w14:textId="77777777" w:rsidR="002B697E" w:rsidRPr="002B697E" w:rsidRDefault="002B697E" w:rsidP="002B697E">
      <w:pPr>
        <w:numPr>
          <w:ilvl w:val="1"/>
          <w:numId w:val="30"/>
        </w:numPr>
        <w:spacing w:line="360" w:lineRule="auto"/>
        <w:rPr>
          <w:lang w:val="en-US"/>
        </w:rPr>
      </w:pPr>
      <w:r w:rsidRPr="002B697E">
        <w:rPr>
          <w:lang w:val="en-US"/>
        </w:rPr>
        <w:t>New York ($593,000)</w:t>
      </w:r>
    </w:p>
    <w:p w14:paraId="3212F471" w14:textId="77777777" w:rsidR="002B697E" w:rsidRPr="002B697E" w:rsidRDefault="002B697E" w:rsidP="002B697E">
      <w:pPr>
        <w:numPr>
          <w:ilvl w:val="1"/>
          <w:numId w:val="30"/>
        </w:numPr>
        <w:spacing w:line="360" w:lineRule="auto"/>
        <w:rPr>
          <w:lang w:val="en-US"/>
        </w:rPr>
      </w:pPr>
      <w:r w:rsidRPr="002B697E">
        <w:rPr>
          <w:lang w:val="en-US"/>
        </w:rPr>
        <w:t>Los Angeles ($1,055,000)</w:t>
      </w:r>
    </w:p>
    <w:p w14:paraId="1C38713D" w14:textId="77777777" w:rsidR="002B697E" w:rsidRPr="002B697E" w:rsidRDefault="002B697E" w:rsidP="002B697E">
      <w:pPr>
        <w:numPr>
          <w:ilvl w:val="1"/>
          <w:numId w:val="30"/>
        </w:numPr>
        <w:spacing w:line="360" w:lineRule="auto"/>
        <w:rPr>
          <w:lang w:val="en-US"/>
        </w:rPr>
      </w:pPr>
      <w:r w:rsidRPr="002B697E">
        <w:rPr>
          <w:lang w:val="en-US"/>
        </w:rPr>
        <w:t>Washington D.C. ($650,000)</w:t>
      </w:r>
    </w:p>
    <w:p w14:paraId="3C5CF100" w14:textId="77777777" w:rsidR="002B697E" w:rsidRPr="002B697E" w:rsidRDefault="002B697E" w:rsidP="002B697E">
      <w:pPr>
        <w:numPr>
          <w:ilvl w:val="0"/>
          <w:numId w:val="30"/>
        </w:numPr>
        <w:spacing w:line="360" w:lineRule="auto"/>
        <w:rPr>
          <w:lang w:val="en-US"/>
        </w:rPr>
      </w:pPr>
      <w:r w:rsidRPr="002B697E">
        <w:rPr>
          <w:lang w:val="en-US"/>
        </w:rPr>
        <w:t xml:space="preserve">In 2024, Metro Atlanta issued approximately </w:t>
      </w:r>
      <w:r w:rsidRPr="002B697E">
        <w:rPr>
          <w:b/>
          <w:bCs/>
          <w:lang w:val="en-US"/>
        </w:rPr>
        <w:t>22,943 new residential construction permits</w:t>
      </w:r>
      <w:r w:rsidRPr="002B697E">
        <w:rPr>
          <w:lang w:val="en-US"/>
        </w:rPr>
        <w:t xml:space="preserve">, marking a </w:t>
      </w:r>
      <w:r w:rsidRPr="002B697E">
        <w:rPr>
          <w:b/>
          <w:bCs/>
          <w:lang w:val="en-US"/>
        </w:rPr>
        <w:t>12% increase year-over-year</w:t>
      </w:r>
      <w:r w:rsidRPr="002B697E">
        <w:rPr>
          <w:lang w:val="en-US"/>
        </w:rPr>
        <w:t xml:space="preserve"> and the </w:t>
      </w:r>
      <w:r w:rsidRPr="002B697E">
        <w:rPr>
          <w:b/>
          <w:bCs/>
          <w:lang w:val="en-US"/>
        </w:rPr>
        <w:t>first annual increase since 2021</w:t>
      </w:r>
      <w:r w:rsidRPr="002B697E">
        <w:rPr>
          <w:lang w:val="en-US"/>
        </w:rPr>
        <w:t>.</w:t>
      </w:r>
    </w:p>
    <w:p w14:paraId="54965D8C" w14:textId="77777777" w:rsidR="002B697E" w:rsidRDefault="002B697E" w:rsidP="002B697E">
      <w:pPr>
        <w:numPr>
          <w:ilvl w:val="0"/>
          <w:numId w:val="30"/>
        </w:numPr>
        <w:spacing w:line="360" w:lineRule="auto"/>
        <w:rPr>
          <w:lang w:val="en-US"/>
        </w:rPr>
      </w:pPr>
      <w:r w:rsidRPr="002B697E">
        <w:rPr>
          <w:lang w:val="en-US"/>
        </w:rPr>
        <w:t xml:space="preserve">Statewide, new housing permits totaled </w:t>
      </w:r>
      <w:r w:rsidRPr="002B697E">
        <w:rPr>
          <w:b/>
          <w:bCs/>
          <w:lang w:val="en-US"/>
        </w:rPr>
        <w:t>6,081 in April 2025</w:t>
      </w:r>
      <w:r w:rsidRPr="002B697E">
        <w:rPr>
          <w:lang w:val="en-US"/>
        </w:rPr>
        <w:t xml:space="preserve">, an </w:t>
      </w:r>
      <w:r w:rsidRPr="002B697E">
        <w:rPr>
          <w:b/>
          <w:bCs/>
          <w:lang w:val="en-US"/>
        </w:rPr>
        <w:t>11% increase from March 2025</w:t>
      </w:r>
      <w:r w:rsidRPr="002B697E">
        <w:rPr>
          <w:lang w:val="en-US"/>
        </w:rPr>
        <w:t>, indicating a steady upward trend in construction activity.</w:t>
      </w:r>
    </w:p>
    <w:p w14:paraId="0C5DFE2C" w14:textId="77777777" w:rsidR="000A71B8" w:rsidRPr="002B697E" w:rsidRDefault="000A71B8" w:rsidP="000A71B8">
      <w:pPr>
        <w:spacing w:line="360" w:lineRule="auto"/>
        <w:ind w:left="360"/>
        <w:rPr>
          <w:lang w:val="en-US"/>
        </w:rPr>
      </w:pPr>
    </w:p>
    <w:p w14:paraId="278FA7D1" w14:textId="77777777" w:rsidR="002B697E" w:rsidRPr="002B697E" w:rsidRDefault="002B697E" w:rsidP="002B697E">
      <w:pPr>
        <w:spacing w:line="360" w:lineRule="auto"/>
        <w:rPr>
          <w:lang w:val="en-US"/>
        </w:rPr>
      </w:pPr>
      <w:r w:rsidRPr="002B697E">
        <w:rPr>
          <w:lang w:val="en-US"/>
        </w:rPr>
        <w:t>Several structural advantages support Georgia’s housing momentum:</w:t>
      </w:r>
    </w:p>
    <w:p w14:paraId="4D25BC3D" w14:textId="77777777" w:rsidR="002B697E" w:rsidRPr="002B697E" w:rsidRDefault="002B697E" w:rsidP="002B697E">
      <w:pPr>
        <w:numPr>
          <w:ilvl w:val="0"/>
          <w:numId w:val="31"/>
        </w:numPr>
        <w:spacing w:line="360" w:lineRule="auto"/>
        <w:rPr>
          <w:lang w:val="en-US"/>
        </w:rPr>
      </w:pPr>
      <w:r w:rsidRPr="002B697E">
        <w:rPr>
          <w:lang w:val="en-US"/>
        </w:rPr>
        <w:t xml:space="preserve">Relatively </w:t>
      </w:r>
      <w:r w:rsidRPr="002B697E">
        <w:rPr>
          <w:b/>
          <w:bCs/>
          <w:lang w:val="en-US"/>
        </w:rPr>
        <w:t>lower land costs</w:t>
      </w:r>
    </w:p>
    <w:p w14:paraId="3BB35CA8" w14:textId="77777777" w:rsidR="002B697E" w:rsidRPr="002B697E" w:rsidRDefault="002B697E" w:rsidP="002B697E">
      <w:pPr>
        <w:numPr>
          <w:ilvl w:val="0"/>
          <w:numId w:val="31"/>
        </w:numPr>
        <w:spacing w:line="360" w:lineRule="auto"/>
        <w:rPr>
          <w:lang w:val="en-US"/>
        </w:rPr>
      </w:pPr>
      <w:r w:rsidRPr="002B697E">
        <w:rPr>
          <w:lang w:val="en-US"/>
        </w:rPr>
        <w:t xml:space="preserve">A </w:t>
      </w:r>
      <w:r w:rsidRPr="002B697E">
        <w:rPr>
          <w:b/>
          <w:bCs/>
          <w:lang w:val="en-US"/>
        </w:rPr>
        <w:t>pro-development regulatory environment</w:t>
      </w:r>
    </w:p>
    <w:p w14:paraId="6AF67378" w14:textId="77777777" w:rsidR="002B697E" w:rsidRPr="000A71B8" w:rsidRDefault="002B697E" w:rsidP="002B697E">
      <w:pPr>
        <w:numPr>
          <w:ilvl w:val="0"/>
          <w:numId w:val="31"/>
        </w:numPr>
        <w:spacing w:line="360" w:lineRule="auto"/>
        <w:rPr>
          <w:lang w:val="en-US"/>
        </w:rPr>
      </w:pPr>
      <w:r w:rsidRPr="002B697E">
        <w:rPr>
          <w:lang w:val="en-US"/>
        </w:rPr>
        <w:t xml:space="preserve">Strategic investments in </w:t>
      </w:r>
      <w:r w:rsidRPr="002B697E">
        <w:rPr>
          <w:b/>
          <w:bCs/>
          <w:lang w:val="en-US"/>
        </w:rPr>
        <w:t>infrastructure and sustainability</w:t>
      </w:r>
    </w:p>
    <w:p w14:paraId="342DF7EA" w14:textId="77777777" w:rsidR="000A71B8" w:rsidRPr="002B697E" w:rsidRDefault="000A71B8" w:rsidP="000A71B8">
      <w:pPr>
        <w:spacing w:line="360" w:lineRule="auto"/>
        <w:ind w:left="720"/>
        <w:rPr>
          <w:lang w:val="en-US"/>
        </w:rPr>
      </w:pPr>
    </w:p>
    <w:p w14:paraId="0BB8A5A7" w14:textId="77777777" w:rsidR="002B697E" w:rsidRDefault="002B697E" w:rsidP="002B697E">
      <w:pPr>
        <w:spacing w:line="360" w:lineRule="auto"/>
        <w:rPr>
          <w:lang w:val="en-US"/>
        </w:rPr>
      </w:pPr>
      <w:r w:rsidRPr="002B697E">
        <w:rPr>
          <w:lang w:val="en-US"/>
        </w:rPr>
        <w:t xml:space="preserve">According to </w:t>
      </w:r>
      <w:proofErr w:type="spellStart"/>
      <w:r w:rsidRPr="002B697E">
        <w:rPr>
          <w:b/>
          <w:bCs/>
          <w:lang w:val="en-US"/>
        </w:rPr>
        <w:t>Realtor.com’s</w:t>
      </w:r>
      <w:proofErr w:type="spellEnd"/>
      <w:r w:rsidRPr="002B697E">
        <w:rPr>
          <w:b/>
          <w:bCs/>
          <w:lang w:val="en-US"/>
        </w:rPr>
        <w:t xml:space="preserve"> State Housing Report Card</w:t>
      </w:r>
      <w:r w:rsidRPr="002B697E">
        <w:rPr>
          <w:lang w:val="en-US"/>
        </w:rPr>
        <w:t xml:space="preserve">, Georgia receives a </w:t>
      </w:r>
      <w:r w:rsidRPr="002B697E">
        <w:rPr>
          <w:b/>
          <w:bCs/>
          <w:lang w:val="en-US"/>
        </w:rPr>
        <w:t>“B” rating</w:t>
      </w:r>
      <w:r w:rsidRPr="002B697E">
        <w:rPr>
          <w:lang w:val="en-US"/>
        </w:rPr>
        <w:t xml:space="preserve"> in housing affordability and development—placing it among the </w:t>
      </w:r>
      <w:r w:rsidRPr="002B697E">
        <w:rPr>
          <w:b/>
          <w:bCs/>
          <w:lang w:val="en-US"/>
        </w:rPr>
        <w:t>top 10 states nationally</w:t>
      </w:r>
      <w:r w:rsidRPr="002B697E">
        <w:rPr>
          <w:lang w:val="en-US"/>
        </w:rPr>
        <w:t>.</w:t>
      </w:r>
    </w:p>
    <w:p w14:paraId="351EAD03" w14:textId="77777777" w:rsidR="00EC79EF" w:rsidRPr="002B697E" w:rsidRDefault="00EC79EF" w:rsidP="002B697E">
      <w:pPr>
        <w:spacing w:line="360" w:lineRule="auto"/>
        <w:rPr>
          <w:lang w:val="en-US"/>
        </w:rPr>
      </w:pPr>
    </w:p>
    <w:p w14:paraId="45B7B017" w14:textId="77777777" w:rsidR="002B697E" w:rsidRPr="002B697E" w:rsidRDefault="002B697E" w:rsidP="002B697E">
      <w:pPr>
        <w:spacing w:line="360" w:lineRule="auto"/>
        <w:rPr>
          <w:lang w:val="en-US"/>
        </w:rPr>
      </w:pPr>
      <w:r w:rsidRPr="002B697E">
        <w:rPr>
          <w:noProof/>
          <w:lang w:val="en-US"/>
        </w:rPr>
      </w:r>
      <w:r w:rsidR="002B697E" w:rsidRPr="002B697E">
        <w:rPr>
          <w:noProof/>
          <w:lang w:val="en-US"/>
        </w:rPr>
        <w:pict w14:anchorId="6F0910E4">
          <v:rect id="_x0000_i1057" alt="" style="width:468pt;height:.05pt;mso-width-percent:0;mso-height-percent:0;mso-width-percent:0;mso-height-percent:0" o:hralign="center" o:hrstd="t" o:hr="t" fillcolor="#a0a0a0" stroked="f"/>
        </w:pict>
      </w:r>
    </w:p>
    <w:p w14:paraId="32EB3394" w14:textId="77777777" w:rsidR="002B697E" w:rsidRPr="002B697E" w:rsidRDefault="002B697E" w:rsidP="002B697E">
      <w:pPr>
        <w:spacing w:line="360" w:lineRule="auto"/>
        <w:rPr>
          <w:b/>
          <w:bCs/>
          <w:lang w:val="en-US"/>
        </w:rPr>
      </w:pPr>
      <w:r w:rsidRPr="002B697E">
        <w:rPr>
          <w:b/>
          <w:bCs/>
          <w:lang w:val="en-US"/>
        </w:rPr>
        <w:t>Policy and Advocacy</w:t>
      </w:r>
    </w:p>
    <w:p w14:paraId="04268AB6" w14:textId="77777777" w:rsidR="002B697E" w:rsidRDefault="002B697E" w:rsidP="002B697E">
      <w:pPr>
        <w:spacing w:line="360" w:lineRule="auto"/>
        <w:rPr>
          <w:lang w:val="en-US"/>
        </w:rPr>
      </w:pPr>
      <w:r w:rsidRPr="002B697E">
        <w:rPr>
          <w:lang w:val="en-US"/>
        </w:rPr>
        <w:lastRenderedPageBreak/>
        <w:t xml:space="preserve">The housing crisis is now being recognized as a major economic issue with far-reaching implications. Earlier this year, </w:t>
      </w:r>
      <w:r w:rsidRPr="002B697E">
        <w:rPr>
          <w:b/>
          <w:bCs/>
          <w:lang w:val="en-US"/>
        </w:rPr>
        <w:t>Realtor.com</w:t>
      </w:r>
      <w:r w:rsidRPr="002B697E">
        <w:rPr>
          <w:lang w:val="en-US"/>
        </w:rPr>
        <w:t xml:space="preserve"> launched the </w:t>
      </w:r>
      <w:r w:rsidRPr="002B697E">
        <w:rPr>
          <w:b/>
          <w:bCs/>
          <w:lang w:val="en-US"/>
        </w:rPr>
        <w:t>“Let America Build”</w:t>
      </w:r>
      <w:r w:rsidRPr="002B697E">
        <w:rPr>
          <w:lang w:val="en-US"/>
        </w:rPr>
        <w:t xml:space="preserve"> campaign to draw attention to the national housing shortage and advocate for meaningful legislative and regulatory reforms. The campaign emphasizes the need to close the estimated </w:t>
      </w:r>
      <w:proofErr w:type="gramStart"/>
      <w:r w:rsidRPr="002B697E">
        <w:rPr>
          <w:b/>
          <w:bCs/>
          <w:lang w:val="en-US"/>
        </w:rPr>
        <w:t>4 million unit</w:t>
      </w:r>
      <w:proofErr w:type="gramEnd"/>
      <w:r w:rsidRPr="002B697E">
        <w:rPr>
          <w:b/>
          <w:bCs/>
          <w:lang w:val="en-US"/>
        </w:rPr>
        <w:t xml:space="preserve"> housing gap</w:t>
      </w:r>
      <w:r w:rsidRPr="002B697E">
        <w:rPr>
          <w:lang w:val="en-US"/>
        </w:rPr>
        <w:t xml:space="preserve"> through strategic policy changes and increased housing production.</w:t>
      </w:r>
    </w:p>
    <w:p w14:paraId="51EFCFA0" w14:textId="77777777" w:rsidR="00177531" w:rsidRPr="002B697E" w:rsidRDefault="00177531" w:rsidP="002B697E">
      <w:pPr>
        <w:spacing w:line="360" w:lineRule="auto"/>
        <w:rPr>
          <w:lang w:val="en-US"/>
        </w:rPr>
      </w:pPr>
    </w:p>
    <w:p w14:paraId="55A428B4" w14:textId="77777777" w:rsidR="002B697E" w:rsidRPr="002B697E" w:rsidRDefault="002B697E" w:rsidP="002B697E">
      <w:pPr>
        <w:spacing w:line="360" w:lineRule="auto"/>
        <w:rPr>
          <w:lang w:val="en-US"/>
        </w:rPr>
      </w:pPr>
      <w:r w:rsidRPr="002B697E">
        <w:rPr>
          <w:lang w:val="en-US"/>
        </w:rPr>
        <w:t xml:space="preserve">As </w:t>
      </w:r>
      <w:r w:rsidRPr="002B697E">
        <w:rPr>
          <w:b/>
          <w:bCs/>
          <w:lang w:val="en-US"/>
        </w:rPr>
        <w:t xml:space="preserve">Mark </w:t>
      </w:r>
      <w:proofErr w:type="spellStart"/>
      <w:r w:rsidRPr="002B697E">
        <w:rPr>
          <w:b/>
          <w:bCs/>
          <w:lang w:val="en-US"/>
        </w:rPr>
        <w:t>Zandi</w:t>
      </w:r>
      <w:proofErr w:type="spellEnd"/>
      <w:r w:rsidRPr="002B697E">
        <w:rPr>
          <w:lang w:val="en-US"/>
        </w:rPr>
        <w:t>, Chief Economist at Moody’s Analytics, emphasized:</w:t>
      </w:r>
    </w:p>
    <w:p w14:paraId="15BA7143" w14:textId="77777777" w:rsidR="002B697E" w:rsidRPr="002B697E" w:rsidRDefault="002B697E" w:rsidP="002B697E">
      <w:pPr>
        <w:spacing w:line="360" w:lineRule="auto"/>
        <w:rPr>
          <w:lang w:val="en-US"/>
        </w:rPr>
      </w:pPr>
      <w:r w:rsidRPr="002B697E">
        <w:rPr>
          <w:lang w:val="en-US"/>
        </w:rPr>
        <w:t>“The housing shortage is the biggest economic crisis that no one is talking about. The failure to build enough homes over the past 15 years is driving up rents, worsening inequality, and limiting economic mobility.”</w:t>
      </w:r>
    </w:p>
    <w:p w14:paraId="2C97D216" w14:textId="77777777" w:rsidR="002B697E" w:rsidRPr="002B697E" w:rsidRDefault="002B697E" w:rsidP="002B697E">
      <w:pPr>
        <w:spacing w:line="360" w:lineRule="auto"/>
        <w:rPr>
          <w:lang w:val="en-US"/>
        </w:rPr>
      </w:pPr>
      <w:r w:rsidRPr="002B697E">
        <w:rPr>
          <w:noProof/>
          <w:lang w:val="en-US"/>
        </w:rPr>
      </w:r>
      <w:r w:rsidR="002B697E" w:rsidRPr="002B697E">
        <w:rPr>
          <w:noProof/>
          <w:lang w:val="en-US"/>
        </w:rPr>
        <w:pict w14:anchorId="49D9DF4F">
          <v:rect id="_x0000_i1058" alt="" style="width:468pt;height:.05pt;mso-width-percent:0;mso-height-percent:0;mso-width-percent:0;mso-height-percent:0" o:hralign="center" o:hrstd="t" o:hr="t" fillcolor="#a0a0a0" stroked="f"/>
        </w:pict>
      </w:r>
    </w:p>
    <w:p w14:paraId="5763590D" w14:textId="77777777" w:rsidR="002B697E" w:rsidRPr="002B697E" w:rsidRDefault="002B697E" w:rsidP="002B697E">
      <w:pPr>
        <w:spacing w:line="360" w:lineRule="auto"/>
        <w:rPr>
          <w:b/>
          <w:bCs/>
          <w:lang w:val="en-US"/>
        </w:rPr>
      </w:pPr>
      <w:r w:rsidRPr="002B697E">
        <w:rPr>
          <w:b/>
          <w:bCs/>
          <w:lang w:val="en-US"/>
        </w:rPr>
        <w:t>Conclusion</w:t>
      </w:r>
    </w:p>
    <w:p w14:paraId="195C375E" w14:textId="77777777" w:rsidR="002B697E" w:rsidRDefault="002B697E" w:rsidP="002B697E">
      <w:pPr>
        <w:spacing w:line="360" w:lineRule="auto"/>
        <w:rPr>
          <w:lang w:val="en-US"/>
        </w:rPr>
      </w:pPr>
      <w:r w:rsidRPr="002B697E">
        <w:rPr>
          <w:lang w:val="en-US"/>
        </w:rPr>
        <w:t>While Georgia remains a relative bright spot in the national housing landscape, even this momentum is not sufficient to offset the deep-rooted supply crisis. The rising costs of homeownership continue to price out many households, and the need for scalable, sustainable housing solutions has never been more urgent.</w:t>
      </w:r>
    </w:p>
    <w:p w14:paraId="6350893A" w14:textId="77777777" w:rsidR="007A120E" w:rsidRPr="002B697E" w:rsidRDefault="007A120E" w:rsidP="002B697E">
      <w:pPr>
        <w:spacing w:line="360" w:lineRule="auto"/>
        <w:rPr>
          <w:lang w:val="en-US"/>
        </w:rPr>
      </w:pPr>
    </w:p>
    <w:p w14:paraId="18EAB26C" w14:textId="787C0FA2" w:rsidR="00A148EA" w:rsidRPr="00A148EA" w:rsidRDefault="002B697E" w:rsidP="00A148EA">
      <w:pPr>
        <w:spacing w:line="360" w:lineRule="auto"/>
        <w:rPr>
          <w:lang w:val="en-US"/>
        </w:rPr>
      </w:pPr>
      <w:r w:rsidRPr="002B697E">
        <w:rPr>
          <w:lang w:val="en-US"/>
        </w:rPr>
        <w:t xml:space="preserve">At FMLS, we continue to monitor these trends closely. For the latest data and insights, visit </w:t>
      </w:r>
      <w:r w:rsidRPr="002B697E">
        <w:rPr>
          <w:b/>
          <w:bCs/>
          <w:lang w:val="en-US"/>
        </w:rPr>
        <w:t>FMLS Market Intel</w:t>
      </w:r>
      <w:r w:rsidRPr="002B697E">
        <w:rPr>
          <w:lang w:val="en-US"/>
        </w:rPr>
        <w:t>, where market statistics are updated weekly and detailed local market resources are available.</w:t>
      </w:r>
    </w:p>
    <w:p w14:paraId="005D26E0" w14:textId="77777777" w:rsidR="00721809" w:rsidRDefault="00721809" w:rsidP="00A148EA">
      <w:pPr>
        <w:spacing w:line="360" w:lineRule="auto"/>
        <w:rPr>
          <w:b/>
          <w:bCs/>
          <w:lang w:val="en-US"/>
        </w:rPr>
      </w:pPr>
    </w:p>
    <w:p w14:paraId="7ECB9D57" w14:textId="44049F39" w:rsidR="00A148EA" w:rsidRPr="00A148EA" w:rsidRDefault="00A148EA" w:rsidP="00A148EA">
      <w:pPr>
        <w:spacing w:line="360" w:lineRule="auto"/>
        <w:rPr>
          <w:lang w:val="en-US"/>
        </w:rPr>
      </w:pPr>
      <w:r w:rsidRPr="00A148EA">
        <w:rPr>
          <w:lang w:val="en-US"/>
        </w:rPr>
        <w:t>Leslie Appleton Young</w:t>
      </w:r>
      <w:r w:rsidRPr="00A148EA">
        <w:rPr>
          <w:lang w:val="en-US"/>
        </w:rPr>
        <w:br/>
        <w:t>Chief Economist, FMLS</w:t>
      </w:r>
    </w:p>
    <w:p w14:paraId="62CA1E7A" w14:textId="77777777" w:rsidR="001A2405" w:rsidRDefault="001A2405" w:rsidP="00615BAB">
      <w:pPr>
        <w:spacing w:line="360" w:lineRule="auto"/>
        <w:rPr>
          <w:lang w:val="en-US"/>
        </w:rPr>
      </w:pPr>
    </w:p>
    <w:p w14:paraId="4613DAE2" w14:textId="0D23A3CB" w:rsidR="00922A2B" w:rsidRPr="00922A2B" w:rsidRDefault="00922A2B" w:rsidP="00922A2B">
      <w:pPr>
        <w:spacing w:line="360" w:lineRule="auto"/>
        <w:rPr>
          <w:lang w:val="en-US"/>
        </w:rPr>
      </w:pPr>
    </w:p>
    <w:p w14:paraId="00000016" w14:textId="77777777" w:rsidR="00E05160" w:rsidRDefault="00E05160" w:rsidP="00F65ACF">
      <w:pPr>
        <w:spacing w:line="360" w:lineRule="auto"/>
      </w:pPr>
    </w:p>
    <w:p w14:paraId="00000017" w14:textId="77777777" w:rsidR="00E05160" w:rsidRDefault="00E05160" w:rsidP="00F65ACF">
      <w:pPr>
        <w:spacing w:line="360" w:lineRule="auto"/>
      </w:pPr>
    </w:p>
    <w:p w14:paraId="00000018" w14:textId="77777777" w:rsidR="00E05160" w:rsidRDefault="00E05160" w:rsidP="00F65ACF">
      <w:pPr>
        <w:spacing w:line="360" w:lineRule="auto"/>
      </w:pPr>
    </w:p>
    <w:p w14:paraId="00000019" w14:textId="77777777" w:rsidR="00E05160" w:rsidRDefault="00E05160" w:rsidP="00F65ACF">
      <w:pPr>
        <w:spacing w:line="360" w:lineRule="auto"/>
      </w:pPr>
    </w:p>
    <w:p w14:paraId="0000001A" w14:textId="77777777" w:rsidR="00E05160" w:rsidRDefault="00E05160" w:rsidP="00F65ACF">
      <w:pPr>
        <w:spacing w:line="360" w:lineRule="auto"/>
      </w:pPr>
    </w:p>
    <w:sectPr w:rsidR="00E051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32D3" w14:textId="77777777" w:rsidR="008D76DB" w:rsidRDefault="008D76DB" w:rsidP="00922A2B">
      <w:pPr>
        <w:spacing w:line="240" w:lineRule="auto"/>
      </w:pPr>
      <w:r>
        <w:separator/>
      </w:r>
    </w:p>
  </w:endnote>
  <w:endnote w:type="continuationSeparator" w:id="0">
    <w:p w14:paraId="234C6B31" w14:textId="77777777" w:rsidR="008D76DB" w:rsidRDefault="008D76DB" w:rsidP="0092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FF7E" w14:textId="77777777" w:rsidR="008D76DB" w:rsidRDefault="008D76DB" w:rsidP="00922A2B">
      <w:pPr>
        <w:spacing w:line="240" w:lineRule="auto"/>
      </w:pPr>
      <w:r>
        <w:separator/>
      </w:r>
    </w:p>
  </w:footnote>
  <w:footnote w:type="continuationSeparator" w:id="0">
    <w:p w14:paraId="308A0237" w14:textId="77777777" w:rsidR="008D76DB" w:rsidRDefault="008D76DB" w:rsidP="00922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D55"/>
    <w:multiLevelType w:val="multilevel"/>
    <w:tmpl w:val="DBB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65CEF"/>
    <w:multiLevelType w:val="multilevel"/>
    <w:tmpl w:val="FEC6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3204"/>
    <w:multiLevelType w:val="multilevel"/>
    <w:tmpl w:val="E00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6737"/>
    <w:multiLevelType w:val="multilevel"/>
    <w:tmpl w:val="E8A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32577"/>
    <w:multiLevelType w:val="multilevel"/>
    <w:tmpl w:val="E070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279BD"/>
    <w:multiLevelType w:val="multilevel"/>
    <w:tmpl w:val="35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46D1D"/>
    <w:multiLevelType w:val="multilevel"/>
    <w:tmpl w:val="9D12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262E4"/>
    <w:multiLevelType w:val="multilevel"/>
    <w:tmpl w:val="34E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E76B9"/>
    <w:multiLevelType w:val="multilevel"/>
    <w:tmpl w:val="D18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24230"/>
    <w:multiLevelType w:val="multilevel"/>
    <w:tmpl w:val="D91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34BE8"/>
    <w:multiLevelType w:val="multilevel"/>
    <w:tmpl w:val="7FC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D2C1F"/>
    <w:multiLevelType w:val="multilevel"/>
    <w:tmpl w:val="B344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222BA"/>
    <w:multiLevelType w:val="multilevel"/>
    <w:tmpl w:val="DA4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82B07"/>
    <w:multiLevelType w:val="multilevel"/>
    <w:tmpl w:val="D2709C8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2B440E77"/>
    <w:multiLevelType w:val="multilevel"/>
    <w:tmpl w:val="54C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D48E2"/>
    <w:multiLevelType w:val="multilevel"/>
    <w:tmpl w:val="90A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06CB3"/>
    <w:multiLevelType w:val="multilevel"/>
    <w:tmpl w:val="A53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95944"/>
    <w:multiLevelType w:val="multilevel"/>
    <w:tmpl w:val="B15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C0959"/>
    <w:multiLevelType w:val="multilevel"/>
    <w:tmpl w:val="AEB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D1677"/>
    <w:multiLevelType w:val="multilevel"/>
    <w:tmpl w:val="343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A1879"/>
    <w:multiLevelType w:val="multilevel"/>
    <w:tmpl w:val="33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C4AE6"/>
    <w:multiLevelType w:val="multilevel"/>
    <w:tmpl w:val="42448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23AE6"/>
    <w:multiLevelType w:val="multilevel"/>
    <w:tmpl w:val="AEE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50796"/>
    <w:multiLevelType w:val="multilevel"/>
    <w:tmpl w:val="65C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D1749"/>
    <w:multiLevelType w:val="multilevel"/>
    <w:tmpl w:val="F14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D053B"/>
    <w:multiLevelType w:val="multilevel"/>
    <w:tmpl w:val="BAE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66FB3"/>
    <w:multiLevelType w:val="multilevel"/>
    <w:tmpl w:val="C82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57D00"/>
    <w:multiLevelType w:val="multilevel"/>
    <w:tmpl w:val="97E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F2B5C"/>
    <w:multiLevelType w:val="multilevel"/>
    <w:tmpl w:val="349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064E0"/>
    <w:multiLevelType w:val="multilevel"/>
    <w:tmpl w:val="491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14023"/>
    <w:multiLevelType w:val="multilevel"/>
    <w:tmpl w:val="8312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68118">
    <w:abstractNumId w:val="16"/>
  </w:num>
  <w:num w:numId="2" w16cid:durableId="1070619644">
    <w:abstractNumId w:val="14"/>
  </w:num>
  <w:num w:numId="3" w16cid:durableId="502085978">
    <w:abstractNumId w:val="18"/>
  </w:num>
  <w:num w:numId="4" w16cid:durableId="29694018">
    <w:abstractNumId w:val="29"/>
  </w:num>
  <w:num w:numId="5" w16cid:durableId="1912275878">
    <w:abstractNumId w:val="22"/>
  </w:num>
  <w:num w:numId="6" w16cid:durableId="546526850">
    <w:abstractNumId w:val="5"/>
  </w:num>
  <w:num w:numId="7" w16cid:durableId="816187804">
    <w:abstractNumId w:val="30"/>
  </w:num>
  <w:num w:numId="8" w16cid:durableId="30814078">
    <w:abstractNumId w:val="28"/>
  </w:num>
  <w:num w:numId="9" w16cid:durableId="1033725545">
    <w:abstractNumId w:val="9"/>
  </w:num>
  <w:num w:numId="10" w16cid:durableId="892303162">
    <w:abstractNumId w:val="13"/>
  </w:num>
  <w:num w:numId="11" w16cid:durableId="1231622416">
    <w:abstractNumId w:val="20"/>
  </w:num>
  <w:num w:numId="12" w16cid:durableId="1215655984">
    <w:abstractNumId w:val="17"/>
  </w:num>
  <w:num w:numId="13" w16cid:durableId="377122985">
    <w:abstractNumId w:val="11"/>
  </w:num>
  <w:num w:numId="14" w16cid:durableId="388385613">
    <w:abstractNumId w:val="7"/>
  </w:num>
  <w:num w:numId="15" w16cid:durableId="209388184">
    <w:abstractNumId w:val="23"/>
  </w:num>
  <w:num w:numId="16" w16cid:durableId="1106731256">
    <w:abstractNumId w:val="15"/>
  </w:num>
  <w:num w:numId="17" w16cid:durableId="411899581">
    <w:abstractNumId w:val="19"/>
  </w:num>
  <w:num w:numId="18" w16cid:durableId="2019771815">
    <w:abstractNumId w:val="3"/>
  </w:num>
  <w:num w:numId="19" w16cid:durableId="1066337872">
    <w:abstractNumId w:val="26"/>
  </w:num>
  <w:num w:numId="20" w16cid:durableId="42605532">
    <w:abstractNumId w:val="24"/>
  </w:num>
  <w:num w:numId="21" w16cid:durableId="1590117394">
    <w:abstractNumId w:val="0"/>
  </w:num>
  <w:num w:numId="22" w16cid:durableId="1351877271">
    <w:abstractNumId w:val="12"/>
  </w:num>
  <w:num w:numId="23" w16cid:durableId="793404155">
    <w:abstractNumId w:val="6"/>
  </w:num>
  <w:num w:numId="24" w16cid:durableId="1482310470">
    <w:abstractNumId w:val="1"/>
  </w:num>
  <w:num w:numId="25" w16cid:durableId="1147356796">
    <w:abstractNumId w:val="10"/>
  </w:num>
  <w:num w:numId="26" w16cid:durableId="1257404179">
    <w:abstractNumId w:val="25"/>
  </w:num>
  <w:num w:numId="27" w16cid:durableId="1963532251">
    <w:abstractNumId w:val="8"/>
  </w:num>
  <w:num w:numId="28" w16cid:durableId="1109395931">
    <w:abstractNumId w:val="27"/>
  </w:num>
  <w:num w:numId="29" w16cid:durableId="2040279358">
    <w:abstractNumId w:val="4"/>
  </w:num>
  <w:num w:numId="30" w16cid:durableId="346442113">
    <w:abstractNumId w:val="21"/>
  </w:num>
  <w:num w:numId="31" w16cid:durableId="42657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60"/>
    <w:rsid w:val="0000794B"/>
    <w:rsid w:val="000175C2"/>
    <w:rsid w:val="00037DED"/>
    <w:rsid w:val="00055C13"/>
    <w:rsid w:val="000642B4"/>
    <w:rsid w:val="0007265C"/>
    <w:rsid w:val="0008562E"/>
    <w:rsid w:val="000A5F68"/>
    <w:rsid w:val="000A71B8"/>
    <w:rsid w:val="000E01FA"/>
    <w:rsid w:val="000F45E9"/>
    <w:rsid w:val="000F7D49"/>
    <w:rsid w:val="00101103"/>
    <w:rsid w:val="001344A4"/>
    <w:rsid w:val="00177531"/>
    <w:rsid w:val="001A2405"/>
    <w:rsid w:val="001A531B"/>
    <w:rsid w:val="001B093F"/>
    <w:rsid w:val="001D5AEC"/>
    <w:rsid w:val="002B697E"/>
    <w:rsid w:val="002C05C5"/>
    <w:rsid w:val="002E3A53"/>
    <w:rsid w:val="00327533"/>
    <w:rsid w:val="003365E6"/>
    <w:rsid w:val="003447E0"/>
    <w:rsid w:val="003C5EFA"/>
    <w:rsid w:val="003C7A9B"/>
    <w:rsid w:val="00401117"/>
    <w:rsid w:val="0049646D"/>
    <w:rsid w:val="004E0136"/>
    <w:rsid w:val="00512D2E"/>
    <w:rsid w:val="00532247"/>
    <w:rsid w:val="005A0DB9"/>
    <w:rsid w:val="005B37A5"/>
    <w:rsid w:val="005F2840"/>
    <w:rsid w:val="00615BAB"/>
    <w:rsid w:val="00624612"/>
    <w:rsid w:val="00693215"/>
    <w:rsid w:val="006C24A9"/>
    <w:rsid w:val="006C4168"/>
    <w:rsid w:val="006C7AF8"/>
    <w:rsid w:val="00721809"/>
    <w:rsid w:val="007A120E"/>
    <w:rsid w:val="007E6574"/>
    <w:rsid w:val="007F49DD"/>
    <w:rsid w:val="008A6493"/>
    <w:rsid w:val="008B39AB"/>
    <w:rsid w:val="008B4DB8"/>
    <w:rsid w:val="008D76DB"/>
    <w:rsid w:val="008E3714"/>
    <w:rsid w:val="00922A2B"/>
    <w:rsid w:val="009336A7"/>
    <w:rsid w:val="009376FD"/>
    <w:rsid w:val="009626D1"/>
    <w:rsid w:val="009810FD"/>
    <w:rsid w:val="009D4F6C"/>
    <w:rsid w:val="00A142EA"/>
    <w:rsid w:val="00A148EA"/>
    <w:rsid w:val="00AC645E"/>
    <w:rsid w:val="00B01D81"/>
    <w:rsid w:val="00B3724F"/>
    <w:rsid w:val="00B40110"/>
    <w:rsid w:val="00B578E6"/>
    <w:rsid w:val="00B641B7"/>
    <w:rsid w:val="00BA2D52"/>
    <w:rsid w:val="00BB6C87"/>
    <w:rsid w:val="00BC74AB"/>
    <w:rsid w:val="00BD534C"/>
    <w:rsid w:val="00BD6CAB"/>
    <w:rsid w:val="00C21649"/>
    <w:rsid w:val="00C23F37"/>
    <w:rsid w:val="00C30A33"/>
    <w:rsid w:val="00C3799D"/>
    <w:rsid w:val="00C757E8"/>
    <w:rsid w:val="00CF20B3"/>
    <w:rsid w:val="00D24CA0"/>
    <w:rsid w:val="00D31972"/>
    <w:rsid w:val="00D347D4"/>
    <w:rsid w:val="00D5401F"/>
    <w:rsid w:val="00D8157F"/>
    <w:rsid w:val="00E05160"/>
    <w:rsid w:val="00EA08FD"/>
    <w:rsid w:val="00EC79EF"/>
    <w:rsid w:val="00F65ACF"/>
    <w:rsid w:val="00FC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FDE4AE0"/>
  <w15:docId w15:val="{F30B574D-9D11-4143-BB19-4E711FF2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2A2B"/>
    <w:pPr>
      <w:tabs>
        <w:tab w:val="center" w:pos="4680"/>
        <w:tab w:val="right" w:pos="9360"/>
      </w:tabs>
      <w:spacing w:line="240" w:lineRule="auto"/>
    </w:pPr>
  </w:style>
  <w:style w:type="character" w:customStyle="1" w:styleId="HeaderChar">
    <w:name w:val="Header Char"/>
    <w:basedOn w:val="DefaultParagraphFont"/>
    <w:link w:val="Header"/>
    <w:uiPriority w:val="99"/>
    <w:rsid w:val="00922A2B"/>
  </w:style>
  <w:style w:type="paragraph" w:styleId="Footer">
    <w:name w:val="footer"/>
    <w:basedOn w:val="Normal"/>
    <w:link w:val="FooterChar"/>
    <w:uiPriority w:val="99"/>
    <w:unhideWhenUsed/>
    <w:rsid w:val="00922A2B"/>
    <w:pPr>
      <w:tabs>
        <w:tab w:val="center" w:pos="4680"/>
        <w:tab w:val="right" w:pos="9360"/>
      </w:tabs>
      <w:spacing w:line="240" w:lineRule="auto"/>
    </w:pPr>
  </w:style>
  <w:style w:type="character" w:customStyle="1" w:styleId="FooterChar">
    <w:name w:val="Footer Char"/>
    <w:basedOn w:val="DefaultParagraphFont"/>
    <w:link w:val="Footer"/>
    <w:uiPriority w:val="99"/>
    <w:rsid w:val="00922A2B"/>
  </w:style>
  <w:style w:type="paragraph" w:styleId="ListParagraph">
    <w:name w:val="List Paragraph"/>
    <w:basedOn w:val="Normal"/>
    <w:uiPriority w:val="34"/>
    <w:qFormat/>
    <w:rsid w:val="0003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638">
      <w:bodyDiv w:val="1"/>
      <w:marLeft w:val="0"/>
      <w:marRight w:val="0"/>
      <w:marTop w:val="0"/>
      <w:marBottom w:val="0"/>
      <w:divBdr>
        <w:top w:val="none" w:sz="0" w:space="0" w:color="auto"/>
        <w:left w:val="none" w:sz="0" w:space="0" w:color="auto"/>
        <w:bottom w:val="none" w:sz="0" w:space="0" w:color="auto"/>
        <w:right w:val="none" w:sz="0" w:space="0" w:color="auto"/>
      </w:divBdr>
      <w:divsChild>
        <w:div w:id="3440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34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33012">
      <w:bodyDiv w:val="1"/>
      <w:marLeft w:val="0"/>
      <w:marRight w:val="0"/>
      <w:marTop w:val="0"/>
      <w:marBottom w:val="0"/>
      <w:divBdr>
        <w:top w:val="none" w:sz="0" w:space="0" w:color="auto"/>
        <w:left w:val="none" w:sz="0" w:space="0" w:color="auto"/>
        <w:bottom w:val="none" w:sz="0" w:space="0" w:color="auto"/>
        <w:right w:val="none" w:sz="0" w:space="0" w:color="auto"/>
      </w:divBdr>
    </w:div>
    <w:div w:id="108621456">
      <w:bodyDiv w:val="1"/>
      <w:marLeft w:val="0"/>
      <w:marRight w:val="0"/>
      <w:marTop w:val="0"/>
      <w:marBottom w:val="0"/>
      <w:divBdr>
        <w:top w:val="none" w:sz="0" w:space="0" w:color="auto"/>
        <w:left w:val="none" w:sz="0" w:space="0" w:color="auto"/>
        <w:bottom w:val="none" w:sz="0" w:space="0" w:color="auto"/>
        <w:right w:val="none" w:sz="0" w:space="0" w:color="auto"/>
      </w:divBdr>
    </w:div>
    <w:div w:id="156577559">
      <w:bodyDiv w:val="1"/>
      <w:marLeft w:val="0"/>
      <w:marRight w:val="0"/>
      <w:marTop w:val="0"/>
      <w:marBottom w:val="0"/>
      <w:divBdr>
        <w:top w:val="none" w:sz="0" w:space="0" w:color="auto"/>
        <w:left w:val="none" w:sz="0" w:space="0" w:color="auto"/>
        <w:bottom w:val="none" w:sz="0" w:space="0" w:color="auto"/>
        <w:right w:val="none" w:sz="0" w:space="0" w:color="auto"/>
      </w:divBdr>
      <w:divsChild>
        <w:div w:id="42107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6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89647">
      <w:bodyDiv w:val="1"/>
      <w:marLeft w:val="0"/>
      <w:marRight w:val="0"/>
      <w:marTop w:val="0"/>
      <w:marBottom w:val="0"/>
      <w:divBdr>
        <w:top w:val="none" w:sz="0" w:space="0" w:color="auto"/>
        <w:left w:val="none" w:sz="0" w:space="0" w:color="auto"/>
        <w:bottom w:val="none" w:sz="0" w:space="0" w:color="auto"/>
        <w:right w:val="none" w:sz="0" w:space="0" w:color="auto"/>
      </w:divBdr>
      <w:divsChild>
        <w:div w:id="66952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867112">
      <w:bodyDiv w:val="1"/>
      <w:marLeft w:val="0"/>
      <w:marRight w:val="0"/>
      <w:marTop w:val="0"/>
      <w:marBottom w:val="0"/>
      <w:divBdr>
        <w:top w:val="none" w:sz="0" w:space="0" w:color="auto"/>
        <w:left w:val="none" w:sz="0" w:space="0" w:color="auto"/>
        <w:bottom w:val="none" w:sz="0" w:space="0" w:color="auto"/>
        <w:right w:val="none" w:sz="0" w:space="0" w:color="auto"/>
      </w:divBdr>
    </w:div>
    <w:div w:id="402871769">
      <w:bodyDiv w:val="1"/>
      <w:marLeft w:val="0"/>
      <w:marRight w:val="0"/>
      <w:marTop w:val="0"/>
      <w:marBottom w:val="0"/>
      <w:divBdr>
        <w:top w:val="none" w:sz="0" w:space="0" w:color="auto"/>
        <w:left w:val="none" w:sz="0" w:space="0" w:color="auto"/>
        <w:bottom w:val="none" w:sz="0" w:space="0" w:color="auto"/>
        <w:right w:val="none" w:sz="0" w:space="0" w:color="auto"/>
      </w:divBdr>
    </w:div>
    <w:div w:id="429202179">
      <w:bodyDiv w:val="1"/>
      <w:marLeft w:val="0"/>
      <w:marRight w:val="0"/>
      <w:marTop w:val="0"/>
      <w:marBottom w:val="0"/>
      <w:divBdr>
        <w:top w:val="none" w:sz="0" w:space="0" w:color="auto"/>
        <w:left w:val="none" w:sz="0" w:space="0" w:color="auto"/>
        <w:bottom w:val="none" w:sz="0" w:space="0" w:color="auto"/>
        <w:right w:val="none" w:sz="0" w:space="0" w:color="auto"/>
      </w:divBdr>
      <w:divsChild>
        <w:div w:id="16371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939859">
      <w:bodyDiv w:val="1"/>
      <w:marLeft w:val="0"/>
      <w:marRight w:val="0"/>
      <w:marTop w:val="0"/>
      <w:marBottom w:val="0"/>
      <w:divBdr>
        <w:top w:val="none" w:sz="0" w:space="0" w:color="auto"/>
        <w:left w:val="none" w:sz="0" w:space="0" w:color="auto"/>
        <w:bottom w:val="none" w:sz="0" w:space="0" w:color="auto"/>
        <w:right w:val="none" w:sz="0" w:space="0" w:color="auto"/>
      </w:divBdr>
    </w:div>
    <w:div w:id="585237484">
      <w:bodyDiv w:val="1"/>
      <w:marLeft w:val="0"/>
      <w:marRight w:val="0"/>
      <w:marTop w:val="0"/>
      <w:marBottom w:val="0"/>
      <w:divBdr>
        <w:top w:val="none" w:sz="0" w:space="0" w:color="auto"/>
        <w:left w:val="none" w:sz="0" w:space="0" w:color="auto"/>
        <w:bottom w:val="none" w:sz="0" w:space="0" w:color="auto"/>
        <w:right w:val="none" w:sz="0" w:space="0" w:color="auto"/>
      </w:divBdr>
      <w:divsChild>
        <w:div w:id="44966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76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035657">
      <w:bodyDiv w:val="1"/>
      <w:marLeft w:val="0"/>
      <w:marRight w:val="0"/>
      <w:marTop w:val="0"/>
      <w:marBottom w:val="0"/>
      <w:divBdr>
        <w:top w:val="none" w:sz="0" w:space="0" w:color="auto"/>
        <w:left w:val="none" w:sz="0" w:space="0" w:color="auto"/>
        <w:bottom w:val="none" w:sz="0" w:space="0" w:color="auto"/>
        <w:right w:val="none" w:sz="0" w:space="0" w:color="auto"/>
      </w:divBdr>
      <w:divsChild>
        <w:div w:id="56009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425980">
      <w:bodyDiv w:val="1"/>
      <w:marLeft w:val="0"/>
      <w:marRight w:val="0"/>
      <w:marTop w:val="0"/>
      <w:marBottom w:val="0"/>
      <w:divBdr>
        <w:top w:val="none" w:sz="0" w:space="0" w:color="auto"/>
        <w:left w:val="none" w:sz="0" w:space="0" w:color="auto"/>
        <w:bottom w:val="none" w:sz="0" w:space="0" w:color="auto"/>
        <w:right w:val="none" w:sz="0" w:space="0" w:color="auto"/>
      </w:divBdr>
    </w:div>
    <w:div w:id="748498721">
      <w:bodyDiv w:val="1"/>
      <w:marLeft w:val="0"/>
      <w:marRight w:val="0"/>
      <w:marTop w:val="0"/>
      <w:marBottom w:val="0"/>
      <w:divBdr>
        <w:top w:val="none" w:sz="0" w:space="0" w:color="auto"/>
        <w:left w:val="none" w:sz="0" w:space="0" w:color="auto"/>
        <w:bottom w:val="none" w:sz="0" w:space="0" w:color="auto"/>
        <w:right w:val="none" w:sz="0" w:space="0" w:color="auto"/>
      </w:divBdr>
    </w:div>
    <w:div w:id="861671377">
      <w:bodyDiv w:val="1"/>
      <w:marLeft w:val="0"/>
      <w:marRight w:val="0"/>
      <w:marTop w:val="0"/>
      <w:marBottom w:val="0"/>
      <w:divBdr>
        <w:top w:val="none" w:sz="0" w:space="0" w:color="auto"/>
        <w:left w:val="none" w:sz="0" w:space="0" w:color="auto"/>
        <w:bottom w:val="none" w:sz="0" w:space="0" w:color="auto"/>
        <w:right w:val="none" w:sz="0" w:space="0" w:color="auto"/>
      </w:divBdr>
    </w:div>
    <w:div w:id="958031234">
      <w:bodyDiv w:val="1"/>
      <w:marLeft w:val="0"/>
      <w:marRight w:val="0"/>
      <w:marTop w:val="0"/>
      <w:marBottom w:val="0"/>
      <w:divBdr>
        <w:top w:val="none" w:sz="0" w:space="0" w:color="auto"/>
        <w:left w:val="none" w:sz="0" w:space="0" w:color="auto"/>
        <w:bottom w:val="none" w:sz="0" w:space="0" w:color="auto"/>
        <w:right w:val="none" w:sz="0" w:space="0" w:color="auto"/>
      </w:divBdr>
    </w:div>
    <w:div w:id="1123812421">
      <w:bodyDiv w:val="1"/>
      <w:marLeft w:val="0"/>
      <w:marRight w:val="0"/>
      <w:marTop w:val="0"/>
      <w:marBottom w:val="0"/>
      <w:divBdr>
        <w:top w:val="none" w:sz="0" w:space="0" w:color="auto"/>
        <w:left w:val="none" w:sz="0" w:space="0" w:color="auto"/>
        <w:bottom w:val="none" w:sz="0" w:space="0" w:color="auto"/>
        <w:right w:val="none" w:sz="0" w:space="0" w:color="auto"/>
      </w:divBdr>
      <w:divsChild>
        <w:div w:id="1973510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00697">
      <w:bodyDiv w:val="1"/>
      <w:marLeft w:val="0"/>
      <w:marRight w:val="0"/>
      <w:marTop w:val="0"/>
      <w:marBottom w:val="0"/>
      <w:divBdr>
        <w:top w:val="none" w:sz="0" w:space="0" w:color="auto"/>
        <w:left w:val="none" w:sz="0" w:space="0" w:color="auto"/>
        <w:bottom w:val="none" w:sz="0" w:space="0" w:color="auto"/>
        <w:right w:val="none" w:sz="0" w:space="0" w:color="auto"/>
      </w:divBdr>
      <w:divsChild>
        <w:div w:id="172124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5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887473">
      <w:bodyDiv w:val="1"/>
      <w:marLeft w:val="0"/>
      <w:marRight w:val="0"/>
      <w:marTop w:val="0"/>
      <w:marBottom w:val="0"/>
      <w:divBdr>
        <w:top w:val="none" w:sz="0" w:space="0" w:color="auto"/>
        <w:left w:val="none" w:sz="0" w:space="0" w:color="auto"/>
        <w:bottom w:val="none" w:sz="0" w:space="0" w:color="auto"/>
        <w:right w:val="none" w:sz="0" w:space="0" w:color="auto"/>
      </w:divBdr>
    </w:div>
    <w:div w:id="1409769006">
      <w:bodyDiv w:val="1"/>
      <w:marLeft w:val="0"/>
      <w:marRight w:val="0"/>
      <w:marTop w:val="0"/>
      <w:marBottom w:val="0"/>
      <w:divBdr>
        <w:top w:val="none" w:sz="0" w:space="0" w:color="auto"/>
        <w:left w:val="none" w:sz="0" w:space="0" w:color="auto"/>
        <w:bottom w:val="none" w:sz="0" w:space="0" w:color="auto"/>
        <w:right w:val="none" w:sz="0" w:space="0" w:color="auto"/>
      </w:divBdr>
      <w:divsChild>
        <w:div w:id="595017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1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554025">
      <w:bodyDiv w:val="1"/>
      <w:marLeft w:val="0"/>
      <w:marRight w:val="0"/>
      <w:marTop w:val="0"/>
      <w:marBottom w:val="0"/>
      <w:divBdr>
        <w:top w:val="none" w:sz="0" w:space="0" w:color="auto"/>
        <w:left w:val="none" w:sz="0" w:space="0" w:color="auto"/>
        <w:bottom w:val="none" w:sz="0" w:space="0" w:color="auto"/>
        <w:right w:val="none" w:sz="0" w:space="0" w:color="auto"/>
      </w:divBdr>
    </w:div>
    <w:div w:id="1514223070">
      <w:bodyDiv w:val="1"/>
      <w:marLeft w:val="0"/>
      <w:marRight w:val="0"/>
      <w:marTop w:val="0"/>
      <w:marBottom w:val="0"/>
      <w:divBdr>
        <w:top w:val="none" w:sz="0" w:space="0" w:color="auto"/>
        <w:left w:val="none" w:sz="0" w:space="0" w:color="auto"/>
        <w:bottom w:val="none" w:sz="0" w:space="0" w:color="auto"/>
        <w:right w:val="none" w:sz="0" w:space="0" w:color="auto"/>
      </w:divBdr>
    </w:div>
    <w:div w:id="1658996375">
      <w:bodyDiv w:val="1"/>
      <w:marLeft w:val="0"/>
      <w:marRight w:val="0"/>
      <w:marTop w:val="0"/>
      <w:marBottom w:val="0"/>
      <w:divBdr>
        <w:top w:val="none" w:sz="0" w:space="0" w:color="auto"/>
        <w:left w:val="none" w:sz="0" w:space="0" w:color="auto"/>
        <w:bottom w:val="none" w:sz="0" w:space="0" w:color="auto"/>
        <w:right w:val="none" w:sz="0" w:space="0" w:color="auto"/>
      </w:divBdr>
    </w:div>
    <w:div w:id="1773361287">
      <w:bodyDiv w:val="1"/>
      <w:marLeft w:val="0"/>
      <w:marRight w:val="0"/>
      <w:marTop w:val="0"/>
      <w:marBottom w:val="0"/>
      <w:divBdr>
        <w:top w:val="none" w:sz="0" w:space="0" w:color="auto"/>
        <w:left w:val="none" w:sz="0" w:space="0" w:color="auto"/>
        <w:bottom w:val="none" w:sz="0" w:space="0" w:color="auto"/>
        <w:right w:val="none" w:sz="0" w:space="0" w:color="auto"/>
      </w:divBdr>
    </w:div>
    <w:div w:id="1838113108">
      <w:bodyDiv w:val="1"/>
      <w:marLeft w:val="0"/>
      <w:marRight w:val="0"/>
      <w:marTop w:val="0"/>
      <w:marBottom w:val="0"/>
      <w:divBdr>
        <w:top w:val="none" w:sz="0" w:space="0" w:color="auto"/>
        <w:left w:val="none" w:sz="0" w:space="0" w:color="auto"/>
        <w:bottom w:val="none" w:sz="0" w:space="0" w:color="auto"/>
        <w:right w:val="none" w:sz="0" w:space="0" w:color="auto"/>
      </w:divBdr>
      <w:divsChild>
        <w:div w:id="163571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624540">
      <w:bodyDiv w:val="1"/>
      <w:marLeft w:val="0"/>
      <w:marRight w:val="0"/>
      <w:marTop w:val="0"/>
      <w:marBottom w:val="0"/>
      <w:divBdr>
        <w:top w:val="none" w:sz="0" w:space="0" w:color="auto"/>
        <w:left w:val="none" w:sz="0" w:space="0" w:color="auto"/>
        <w:bottom w:val="none" w:sz="0" w:space="0" w:color="auto"/>
        <w:right w:val="none" w:sz="0" w:space="0" w:color="auto"/>
      </w:divBdr>
    </w:div>
    <w:div w:id="212345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 Garvin</cp:lastModifiedBy>
  <cp:revision>2</cp:revision>
  <dcterms:created xsi:type="dcterms:W3CDTF">2025-06-24T13:57:00Z</dcterms:created>
  <dcterms:modified xsi:type="dcterms:W3CDTF">2025-06-24T13:57:00Z</dcterms:modified>
</cp:coreProperties>
</file>