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F3493" w14:textId="617BC2D2" w:rsidR="00922A2B" w:rsidRDefault="000F7D49" w:rsidP="00922A2B">
      <w:pPr>
        <w:spacing w:line="360" w:lineRule="auto"/>
        <w:jc w:val="center"/>
        <w:rPr>
          <w:lang w:val="en-US"/>
        </w:rPr>
      </w:pPr>
      <w:r>
        <w:rPr>
          <w:noProof/>
          <w:lang w:val="en-US"/>
        </w:rPr>
        <w:drawing>
          <wp:inline distT="0" distB="0" distL="0" distR="0" wp14:anchorId="63EDE7DA" wp14:editId="23F96311">
            <wp:extent cx="2328975" cy="1112732"/>
            <wp:effectExtent l="0" t="0" r="0" b="5080"/>
            <wp:docPr id="36622135" name="Picture 2"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2135" name="Picture 2" descr="A green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2759" cy="1171873"/>
                    </a:xfrm>
                    <a:prstGeom prst="rect">
                      <a:avLst/>
                    </a:prstGeom>
                  </pic:spPr>
                </pic:pic>
              </a:graphicData>
            </a:graphic>
          </wp:inline>
        </w:drawing>
      </w:r>
    </w:p>
    <w:p w14:paraId="363F88B8" w14:textId="77777777" w:rsidR="00922A2B" w:rsidRPr="00922A2B" w:rsidRDefault="00922A2B" w:rsidP="00922A2B">
      <w:pPr>
        <w:spacing w:line="360" w:lineRule="auto"/>
        <w:jc w:val="center"/>
        <w:rPr>
          <w:lang w:val="en-US"/>
        </w:rPr>
      </w:pPr>
    </w:p>
    <w:p w14:paraId="51A22D84" w14:textId="5FD25598" w:rsidR="00922A2B" w:rsidRPr="00EB2693" w:rsidRDefault="00863411" w:rsidP="00922A2B">
      <w:pPr>
        <w:spacing w:line="360" w:lineRule="auto"/>
        <w:jc w:val="center"/>
        <w:rPr>
          <w:b/>
          <w:bCs/>
          <w:lang w:val="en-US"/>
        </w:rPr>
      </w:pPr>
      <w:r>
        <w:rPr>
          <w:b/>
          <w:bCs/>
          <w:lang w:val="en-US"/>
        </w:rPr>
        <w:t>November</w:t>
      </w:r>
      <w:r w:rsidR="00922A2B" w:rsidRPr="00EB2693">
        <w:rPr>
          <w:b/>
          <w:bCs/>
          <w:lang w:val="en-US"/>
        </w:rPr>
        <w:t xml:space="preserve"> </w:t>
      </w:r>
      <w:r>
        <w:rPr>
          <w:b/>
          <w:bCs/>
          <w:lang w:val="en-US"/>
        </w:rPr>
        <w:t>7</w:t>
      </w:r>
      <w:r w:rsidR="00922A2B" w:rsidRPr="00EB2693">
        <w:rPr>
          <w:b/>
          <w:bCs/>
          <w:lang w:val="en-US"/>
        </w:rPr>
        <w:t>, 202</w:t>
      </w:r>
      <w:r w:rsidR="009D4F6C" w:rsidRPr="00EB2693">
        <w:rPr>
          <w:b/>
          <w:bCs/>
          <w:lang w:val="en-US"/>
        </w:rPr>
        <w:t>5</w:t>
      </w:r>
    </w:p>
    <w:p w14:paraId="678AD379" w14:textId="6838CDA7" w:rsidR="007E6574" w:rsidRPr="007E6574" w:rsidRDefault="00851B95" w:rsidP="007E6574">
      <w:pPr>
        <w:spacing w:line="360" w:lineRule="auto"/>
        <w:rPr>
          <w:b/>
          <w:bCs/>
          <w:lang w:val="en-US"/>
        </w:rPr>
      </w:pPr>
      <w:r w:rsidRPr="00851B95">
        <w:rPr>
          <w:b/>
          <w:bCs/>
          <w:noProof/>
          <w:lang w:val="en-US"/>
        </w:rPr>
        <w:pict w14:anchorId="689996DC">
          <v:rect id="_x0000_i1030" alt="" style="width:468pt;height:.05pt;mso-width-percent:0;mso-height-percent:0;mso-width-percent:0;mso-height-percent:0" o:hralign="center" o:hrstd="t" o:hr="t" fillcolor="#a0a0a0" stroked="f"/>
        </w:pict>
      </w:r>
    </w:p>
    <w:p w14:paraId="7D2AF2A5" w14:textId="2CB463C1" w:rsidR="00A148EA" w:rsidRPr="00EB2693" w:rsidRDefault="007E6574" w:rsidP="00A148EA">
      <w:pPr>
        <w:spacing w:line="360" w:lineRule="auto"/>
        <w:rPr>
          <w:lang w:val="en-US"/>
        </w:rPr>
      </w:pPr>
      <w:r w:rsidRPr="00EB2693">
        <w:rPr>
          <w:lang w:val="en-US"/>
        </w:rPr>
        <w:t xml:space="preserve">Economic Report: Insights into </w:t>
      </w:r>
      <w:r w:rsidR="00EB2693">
        <w:rPr>
          <w:lang w:val="en-US"/>
        </w:rPr>
        <w:t>Georgia’s</w:t>
      </w:r>
      <w:r w:rsidRPr="00EB2693">
        <w:rPr>
          <w:lang w:val="en-US"/>
        </w:rPr>
        <w:t xml:space="preserve"> Housing Market</w:t>
      </w:r>
    </w:p>
    <w:p w14:paraId="53E79142" w14:textId="6D0A41FC" w:rsidR="00BB6C87" w:rsidRPr="00EB2693" w:rsidRDefault="00A148EA" w:rsidP="00A148EA">
      <w:pPr>
        <w:spacing w:line="360" w:lineRule="auto"/>
        <w:rPr>
          <w:i/>
          <w:iCs/>
          <w:lang w:val="en-US"/>
        </w:rPr>
      </w:pPr>
      <w:r w:rsidRPr="00EB2693">
        <w:rPr>
          <w:i/>
          <w:iCs/>
          <w:lang w:val="en-US"/>
        </w:rPr>
        <w:t xml:space="preserve">FMLS Market Intel </w:t>
      </w:r>
      <w:r w:rsidRPr="00EB2693">
        <w:rPr>
          <w:i/>
          <w:iCs/>
          <w:lang w:val="en-US"/>
        </w:rPr>
        <w:br/>
        <w:t>Prepared by Leslie Appleton Young, Chief Economist, FMLS</w:t>
      </w:r>
      <w:r w:rsidRPr="00EB2693">
        <w:rPr>
          <w:i/>
          <w:iCs/>
          <w:lang w:val="en-US"/>
        </w:rPr>
        <w:br/>
      </w:r>
      <w:r w:rsidR="00863411">
        <w:rPr>
          <w:i/>
          <w:iCs/>
          <w:lang w:val="en-US"/>
        </w:rPr>
        <w:t>Nov</w:t>
      </w:r>
      <w:r w:rsidRPr="00EB2693">
        <w:rPr>
          <w:i/>
          <w:iCs/>
          <w:lang w:val="en-US"/>
        </w:rPr>
        <w:t xml:space="preserve"> 2025</w:t>
      </w:r>
    </w:p>
    <w:p w14:paraId="446C12CD" w14:textId="2AA9ECF9" w:rsidR="00863411" w:rsidRDefault="00851B95" w:rsidP="00863411">
      <w:pPr>
        <w:spacing w:line="360" w:lineRule="auto"/>
        <w:rPr>
          <w:b/>
          <w:bCs/>
          <w:lang w:val="en-US"/>
        </w:rPr>
      </w:pPr>
      <w:r w:rsidRPr="00851B95">
        <w:rPr>
          <w:b/>
          <w:bCs/>
          <w:noProof/>
          <w:lang w:val="en-US"/>
        </w:rPr>
        <w:pict w14:anchorId="53F4CB2C">
          <v:rect id="_x0000_i1029" alt="" style="width:468pt;height:.05pt;mso-width-percent:0;mso-height-percent:0;mso-width-percent:0;mso-height-percent:0" o:hralign="center" o:hrstd="t" o:hr="t" fillcolor="#a0a0a0" stroked="f"/>
        </w:pict>
      </w:r>
    </w:p>
    <w:p w14:paraId="0252FE48" w14:textId="3E9A66F1" w:rsidR="00863411" w:rsidRDefault="00863411" w:rsidP="00863411">
      <w:pPr>
        <w:spacing w:line="360" w:lineRule="auto"/>
        <w:rPr>
          <w:i/>
          <w:iCs/>
          <w:lang w:val="en-US"/>
        </w:rPr>
      </w:pPr>
      <w:r w:rsidRPr="00863411">
        <w:rPr>
          <w:lang w:val="en-US"/>
        </w:rPr>
        <w:t xml:space="preserve">Welcome to the FMLS Market Intel Report. I’m Leslie Appleton-Young, Chief Economist at FMLS. Recently, a Wall Street Journal headline captured broad attention: </w:t>
      </w:r>
      <w:r w:rsidRPr="00863411">
        <w:rPr>
          <w:i/>
          <w:iCs/>
          <w:lang w:val="en-US"/>
        </w:rPr>
        <w:t>“Atlanta’s Growth Streak Has Come to an End.”</w:t>
      </w:r>
    </w:p>
    <w:p w14:paraId="6377A6D1" w14:textId="77777777" w:rsidR="00863411" w:rsidRPr="00863411" w:rsidRDefault="00863411" w:rsidP="00863411">
      <w:pPr>
        <w:spacing w:line="360" w:lineRule="auto"/>
        <w:rPr>
          <w:lang w:val="en-US"/>
        </w:rPr>
      </w:pPr>
    </w:p>
    <w:p w14:paraId="44F1CB33" w14:textId="77777777" w:rsidR="00863411" w:rsidRDefault="00863411" w:rsidP="00863411">
      <w:pPr>
        <w:spacing w:line="360" w:lineRule="auto"/>
        <w:rPr>
          <w:lang w:val="en-US"/>
        </w:rPr>
      </w:pPr>
      <w:r w:rsidRPr="00863411">
        <w:rPr>
          <w:lang w:val="en-US"/>
        </w:rPr>
        <w:t>For decades, Metro Atlanta has ranked among the fastest-growing regions in the United States—powered by a strong economy, diverse industry base, world-class universities, and the competitive advantage of the world’s busiest airport. When including natural population increase and immigration, Metro Atlanta’s population still grew by 75,134 residents last year.</w:t>
      </w:r>
    </w:p>
    <w:p w14:paraId="134C8252" w14:textId="77777777" w:rsidR="00863411" w:rsidRPr="00863411" w:rsidRDefault="00863411" w:rsidP="00863411">
      <w:pPr>
        <w:spacing w:line="360" w:lineRule="auto"/>
        <w:rPr>
          <w:lang w:val="en-US"/>
        </w:rPr>
      </w:pPr>
    </w:p>
    <w:p w14:paraId="0B0D4278" w14:textId="77777777" w:rsidR="00863411" w:rsidRPr="00863411" w:rsidRDefault="00863411" w:rsidP="00863411">
      <w:pPr>
        <w:spacing w:line="360" w:lineRule="auto"/>
        <w:rPr>
          <w:lang w:val="en-US"/>
        </w:rPr>
      </w:pPr>
      <w:r w:rsidRPr="00863411">
        <w:rPr>
          <w:lang w:val="en-US"/>
        </w:rPr>
        <w:t>However, newly released Census Bureau data reveals an important shift: for the first time in at least 30 years, Atlanta posted negative net domestic migration, with 1,320 more people moving out than moving in during the year ending July 2024. This shift has prompted questions about what is driving residents to relocate to metro areas such as Nashville, Charlotte, Tampa, Greenville, and Chattanooga.</w:t>
      </w:r>
    </w:p>
    <w:p w14:paraId="16BB9F08" w14:textId="77777777" w:rsidR="00863411" w:rsidRPr="00863411" w:rsidRDefault="00851B95" w:rsidP="00863411">
      <w:pPr>
        <w:spacing w:line="360" w:lineRule="auto"/>
        <w:rPr>
          <w:lang w:val="en-US"/>
        </w:rPr>
      </w:pPr>
      <w:r w:rsidRPr="00851B95">
        <w:rPr>
          <w:b/>
          <w:bCs/>
          <w:noProof/>
          <w:lang w:val="en-US"/>
        </w:rPr>
        <w:pict w14:anchorId="30AA064E">
          <v:rect id="_x0000_i1028" alt="" style="width:468pt;height:.05pt;mso-width-percent:0;mso-height-percent:0;mso-width-percent:0;mso-height-percent:0" o:hralign="center" o:hrstd="t" o:hr="t" fillcolor="#a0a0a0" stroked="f"/>
        </w:pict>
      </w:r>
    </w:p>
    <w:p w14:paraId="36D0BA8B" w14:textId="77777777" w:rsidR="00863411" w:rsidRDefault="00863411" w:rsidP="00863411">
      <w:pPr>
        <w:spacing w:line="360" w:lineRule="auto"/>
        <w:rPr>
          <w:lang w:val="en-US"/>
        </w:rPr>
      </w:pPr>
      <w:r w:rsidRPr="00863411">
        <w:rPr>
          <w:lang w:val="en-US"/>
        </w:rPr>
        <w:t>Drivers Behind the Shift in Net Migration</w:t>
      </w:r>
    </w:p>
    <w:p w14:paraId="53A693DA" w14:textId="77777777" w:rsidR="00863411" w:rsidRPr="00863411" w:rsidRDefault="00863411" w:rsidP="00863411">
      <w:pPr>
        <w:spacing w:line="360" w:lineRule="auto"/>
        <w:rPr>
          <w:lang w:val="en-US"/>
        </w:rPr>
      </w:pPr>
    </w:p>
    <w:p w14:paraId="009128A9" w14:textId="77777777" w:rsidR="00863411" w:rsidRPr="00863411" w:rsidRDefault="00863411" w:rsidP="00863411">
      <w:pPr>
        <w:spacing w:line="360" w:lineRule="auto"/>
        <w:rPr>
          <w:lang w:val="en-US"/>
        </w:rPr>
      </w:pPr>
      <w:r w:rsidRPr="00863411">
        <w:rPr>
          <w:lang w:val="en-US"/>
        </w:rPr>
        <w:t>1. Rising Housing Costs and Declining Affordability</w:t>
      </w:r>
    </w:p>
    <w:p w14:paraId="5BD19DC8" w14:textId="77777777" w:rsidR="00863411" w:rsidRPr="00863411" w:rsidRDefault="00863411" w:rsidP="00863411">
      <w:pPr>
        <w:spacing w:line="360" w:lineRule="auto"/>
        <w:rPr>
          <w:lang w:val="en-US"/>
        </w:rPr>
      </w:pPr>
      <w:r w:rsidRPr="00863411">
        <w:rPr>
          <w:lang w:val="en-US"/>
        </w:rPr>
        <w:t>Housing affordability has become the dominant factor influencing mobility:</w:t>
      </w:r>
    </w:p>
    <w:p w14:paraId="139ED8F4" w14:textId="77777777" w:rsidR="00863411" w:rsidRPr="00863411" w:rsidRDefault="00863411" w:rsidP="00863411">
      <w:pPr>
        <w:numPr>
          <w:ilvl w:val="0"/>
          <w:numId w:val="36"/>
        </w:numPr>
        <w:spacing w:line="360" w:lineRule="auto"/>
        <w:rPr>
          <w:lang w:val="en-US"/>
        </w:rPr>
      </w:pPr>
      <w:r w:rsidRPr="00863411">
        <w:rPr>
          <w:lang w:val="en-US"/>
        </w:rPr>
        <w:t>Between January 2020 and June 2022, the median home price in Metro Atlanta rose from $272,000 to $459,000, an increase of nearly 70%.</w:t>
      </w:r>
    </w:p>
    <w:p w14:paraId="4FF5B8AB" w14:textId="77777777" w:rsidR="00863411" w:rsidRPr="00863411" w:rsidRDefault="00863411" w:rsidP="00863411">
      <w:pPr>
        <w:numPr>
          <w:ilvl w:val="0"/>
          <w:numId w:val="36"/>
        </w:numPr>
        <w:spacing w:line="360" w:lineRule="auto"/>
        <w:rPr>
          <w:lang w:val="en-US"/>
        </w:rPr>
      </w:pPr>
      <w:r w:rsidRPr="00863411">
        <w:rPr>
          <w:lang w:val="en-US"/>
        </w:rPr>
        <w:lastRenderedPageBreak/>
        <w:t>Mortgage rate increases in mid-2022 slowed price acceleration, but higher rates continued pushing overall housing costs upward.</w:t>
      </w:r>
    </w:p>
    <w:p w14:paraId="20BA6286" w14:textId="77777777" w:rsidR="00863411" w:rsidRPr="00863411" w:rsidRDefault="00863411" w:rsidP="00863411">
      <w:pPr>
        <w:numPr>
          <w:ilvl w:val="0"/>
          <w:numId w:val="36"/>
        </w:numPr>
        <w:spacing w:line="360" w:lineRule="auto"/>
        <w:rPr>
          <w:lang w:val="en-US"/>
        </w:rPr>
      </w:pPr>
      <w:r w:rsidRPr="00863411">
        <w:rPr>
          <w:lang w:val="en-US"/>
        </w:rPr>
        <w:t xml:space="preserve">The 2024 Atlanta Regional Commission’s Metro Atlanta Speaks survey identified </w:t>
      </w:r>
      <w:r w:rsidRPr="00863411">
        <w:rPr>
          <w:i/>
          <w:iCs/>
          <w:lang w:val="en-US"/>
        </w:rPr>
        <w:t>affordable housing</w:t>
      </w:r>
      <w:r w:rsidRPr="00863411">
        <w:rPr>
          <w:lang w:val="en-US"/>
        </w:rPr>
        <w:t xml:space="preserve"> as the region’s top concern among more than 4,000 respondents.</w:t>
      </w:r>
    </w:p>
    <w:p w14:paraId="29625F76" w14:textId="77777777" w:rsidR="00863411" w:rsidRPr="00863411" w:rsidRDefault="00863411" w:rsidP="00863411">
      <w:pPr>
        <w:numPr>
          <w:ilvl w:val="0"/>
          <w:numId w:val="36"/>
        </w:numPr>
        <w:spacing w:line="360" w:lineRule="auto"/>
        <w:rPr>
          <w:lang w:val="en-US"/>
        </w:rPr>
      </w:pPr>
      <w:r w:rsidRPr="00863411">
        <w:rPr>
          <w:lang w:val="en-US"/>
        </w:rPr>
        <w:t>Nationally, average monthly mortgage payments climbed from $1,765 (2022) to $2,235 (2025).</w:t>
      </w:r>
    </w:p>
    <w:p w14:paraId="3DF4EEDC" w14:textId="77777777" w:rsidR="00863411" w:rsidRPr="00863411" w:rsidRDefault="00863411" w:rsidP="00863411">
      <w:pPr>
        <w:numPr>
          <w:ilvl w:val="0"/>
          <w:numId w:val="36"/>
        </w:numPr>
        <w:spacing w:line="360" w:lineRule="auto"/>
        <w:rPr>
          <w:lang w:val="en-US"/>
        </w:rPr>
      </w:pPr>
      <w:r w:rsidRPr="00863411">
        <w:rPr>
          <w:lang w:val="en-US"/>
        </w:rPr>
        <w:t>NAR’s Housing Affordability Index has remained below 100 for three consecutive years, signaling ongoing strain.</w:t>
      </w:r>
    </w:p>
    <w:p w14:paraId="787C4237" w14:textId="77777777" w:rsidR="00863411" w:rsidRPr="00863411" w:rsidRDefault="00863411" w:rsidP="00863411">
      <w:pPr>
        <w:spacing w:line="360" w:lineRule="auto"/>
        <w:rPr>
          <w:lang w:val="en-US"/>
        </w:rPr>
      </w:pPr>
      <w:r w:rsidRPr="00863411">
        <w:rPr>
          <w:lang w:val="en-US"/>
        </w:rPr>
        <w:t>A recent Bank of America study reinforces this trend, showing:</w:t>
      </w:r>
    </w:p>
    <w:p w14:paraId="52051F15" w14:textId="77777777" w:rsidR="00863411" w:rsidRPr="00863411" w:rsidRDefault="00863411" w:rsidP="00863411">
      <w:pPr>
        <w:numPr>
          <w:ilvl w:val="0"/>
          <w:numId w:val="37"/>
        </w:numPr>
        <w:spacing w:line="360" w:lineRule="auto"/>
        <w:rPr>
          <w:lang w:val="en-US"/>
        </w:rPr>
      </w:pPr>
      <w:r w:rsidRPr="00863411">
        <w:rPr>
          <w:lang w:val="en-US"/>
        </w:rPr>
        <w:t>Consumers citing cost of living as their primary reason for moving increased from 32% (2024) to 39% (2025).</w:t>
      </w:r>
    </w:p>
    <w:p w14:paraId="29864012" w14:textId="77777777" w:rsidR="00863411" w:rsidRPr="00863411" w:rsidRDefault="00863411" w:rsidP="00863411">
      <w:pPr>
        <w:numPr>
          <w:ilvl w:val="0"/>
          <w:numId w:val="37"/>
        </w:numPr>
        <w:spacing w:line="360" w:lineRule="auto"/>
        <w:rPr>
          <w:lang w:val="en-US"/>
        </w:rPr>
      </w:pPr>
      <w:r w:rsidRPr="00863411">
        <w:rPr>
          <w:lang w:val="en-US"/>
        </w:rPr>
        <w:t>Movers consistently report higher housing costs than non-movers.</w:t>
      </w:r>
    </w:p>
    <w:p w14:paraId="1E54CB68" w14:textId="77777777" w:rsidR="00863411" w:rsidRPr="00863411" w:rsidRDefault="00863411" w:rsidP="00863411">
      <w:pPr>
        <w:numPr>
          <w:ilvl w:val="0"/>
          <w:numId w:val="37"/>
        </w:numPr>
        <w:spacing w:line="360" w:lineRule="auto"/>
        <w:rPr>
          <w:lang w:val="en-US"/>
        </w:rPr>
      </w:pPr>
      <w:r w:rsidRPr="00863411">
        <w:rPr>
          <w:lang w:val="en-US"/>
        </w:rPr>
        <w:t>Metro Atlanta is losing moderate- and lower-income households to more affordable markets, while continuing to attract residents from high-cost states such as California.</w:t>
      </w:r>
    </w:p>
    <w:p w14:paraId="360C1898" w14:textId="77777777" w:rsidR="00863411" w:rsidRPr="00863411" w:rsidRDefault="00863411" w:rsidP="00863411">
      <w:pPr>
        <w:spacing w:line="360" w:lineRule="auto"/>
        <w:rPr>
          <w:lang w:val="en-US"/>
        </w:rPr>
      </w:pPr>
      <w:r w:rsidRPr="00863411">
        <w:rPr>
          <w:lang w:val="en-US"/>
        </w:rPr>
        <w:t>In short: affordability has become the defining factor reshaping the region’s population patterns.</w:t>
      </w:r>
    </w:p>
    <w:p w14:paraId="09184176" w14:textId="77777777" w:rsidR="00863411" w:rsidRPr="00863411" w:rsidRDefault="00851B95" w:rsidP="00863411">
      <w:pPr>
        <w:spacing w:line="360" w:lineRule="auto"/>
        <w:rPr>
          <w:lang w:val="en-US"/>
        </w:rPr>
      </w:pPr>
      <w:r w:rsidRPr="00851B95">
        <w:rPr>
          <w:b/>
          <w:bCs/>
          <w:noProof/>
          <w:lang w:val="en-US"/>
        </w:rPr>
        <w:pict w14:anchorId="05C0B87B">
          <v:rect id="_x0000_i1027" alt="" style="width:468pt;height:.05pt;mso-width-percent:0;mso-height-percent:0;mso-width-percent:0;mso-height-percent:0" o:hralign="center" o:hrstd="t" o:hr="t" fillcolor="#a0a0a0" stroked="f"/>
        </w:pict>
      </w:r>
    </w:p>
    <w:p w14:paraId="0293EEDD" w14:textId="77777777" w:rsidR="00863411" w:rsidRPr="00863411" w:rsidRDefault="00863411" w:rsidP="00863411">
      <w:pPr>
        <w:spacing w:line="360" w:lineRule="auto"/>
        <w:rPr>
          <w:lang w:val="en-US"/>
        </w:rPr>
      </w:pPr>
      <w:r w:rsidRPr="00863411">
        <w:rPr>
          <w:lang w:val="en-US"/>
        </w:rPr>
        <w:t>2. Quality of Life Pressures: Traffic and Commute Burdens</w:t>
      </w:r>
    </w:p>
    <w:p w14:paraId="003F4119" w14:textId="77777777" w:rsidR="00863411" w:rsidRPr="00863411" w:rsidRDefault="00863411" w:rsidP="00863411">
      <w:pPr>
        <w:spacing w:line="360" w:lineRule="auto"/>
        <w:rPr>
          <w:lang w:val="en-US"/>
        </w:rPr>
      </w:pPr>
      <w:r w:rsidRPr="00863411">
        <w:rPr>
          <w:lang w:val="en-US"/>
        </w:rPr>
        <w:t>Quality of life—particularly the cost and time burden of commuting—has become the second major driver:</w:t>
      </w:r>
    </w:p>
    <w:p w14:paraId="15B10107" w14:textId="77777777" w:rsidR="00863411" w:rsidRPr="00863411" w:rsidRDefault="00863411" w:rsidP="00863411">
      <w:pPr>
        <w:numPr>
          <w:ilvl w:val="0"/>
          <w:numId w:val="38"/>
        </w:numPr>
        <w:spacing w:line="360" w:lineRule="auto"/>
        <w:rPr>
          <w:lang w:val="en-US"/>
        </w:rPr>
      </w:pPr>
      <w:r w:rsidRPr="00863411">
        <w:rPr>
          <w:lang w:val="en-US"/>
        </w:rPr>
        <w:t>Metro Atlanta’s traffic congestion is widely recognized; the familiar quip “Atlanta is an hour away from Atlanta” highlights its severity.</w:t>
      </w:r>
    </w:p>
    <w:p w14:paraId="428122B5" w14:textId="77777777" w:rsidR="00863411" w:rsidRPr="00863411" w:rsidRDefault="00863411" w:rsidP="00863411">
      <w:pPr>
        <w:numPr>
          <w:ilvl w:val="0"/>
          <w:numId w:val="38"/>
        </w:numPr>
        <w:spacing w:line="360" w:lineRule="auto"/>
        <w:rPr>
          <w:lang w:val="en-US"/>
        </w:rPr>
      </w:pPr>
      <w:r w:rsidRPr="00863411">
        <w:rPr>
          <w:lang w:val="en-US"/>
        </w:rPr>
        <w:t>Consumer Affairs ranks Atlanta as the 5th worst traffic city in the country, outranking even New York City, despite NYC having three times the population.</w:t>
      </w:r>
    </w:p>
    <w:p w14:paraId="6F1D5A09" w14:textId="77777777" w:rsidR="00863411" w:rsidRPr="00863411" w:rsidRDefault="00863411" w:rsidP="00863411">
      <w:pPr>
        <w:numPr>
          <w:ilvl w:val="0"/>
          <w:numId w:val="38"/>
        </w:numPr>
        <w:spacing w:line="360" w:lineRule="auto"/>
        <w:rPr>
          <w:lang w:val="en-US"/>
        </w:rPr>
      </w:pPr>
      <w:r w:rsidRPr="00863411">
        <w:rPr>
          <w:lang w:val="en-US"/>
        </w:rPr>
        <w:t>Long commute times and strained transportation infrastructure are prompting some households to seek cities with more manageable mobility.</w:t>
      </w:r>
    </w:p>
    <w:p w14:paraId="5413F4C5" w14:textId="77777777" w:rsidR="00863411" w:rsidRPr="00863411" w:rsidRDefault="00851B95" w:rsidP="00863411">
      <w:pPr>
        <w:spacing w:line="360" w:lineRule="auto"/>
        <w:rPr>
          <w:lang w:val="en-US"/>
        </w:rPr>
      </w:pPr>
      <w:r w:rsidRPr="00851B95">
        <w:rPr>
          <w:b/>
          <w:bCs/>
          <w:noProof/>
          <w:lang w:val="en-US"/>
        </w:rPr>
        <w:pict w14:anchorId="4D71E780">
          <v:rect id="_x0000_i1026" alt="" style="width:468pt;height:.05pt;mso-width-percent:0;mso-height-percent:0;mso-width-percent:0;mso-height-percent:0" o:hralign="center" o:hrstd="t" o:hr="t" fillcolor="#a0a0a0" stroked="f"/>
        </w:pict>
      </w:r>
    </w:p>
    <w:p w14:paraId="1CA1F9D1" w14:textId="77777777" w:rsidR="00863411" w:rsidRPr="00863411" w:rsidRDefault="00863411" w:rsidP="00863411">
      <w:pPr>
        <w:spacing w:line="360" w:lineRule="auto"/>
        <w:rPr>
          <w:lang w:val="en-US"/>
        </w:rPr>
      </w:pPr>
      <w:r w:rsidRPr="00863411">
        <w:rPr>
          <w:lang w:val="en-US"/>
        </w:rPr>
        <w:t>Implications for Future Regional Growth</w:t>
      </w:r>
    </w:p>
    <w:p w14:paraId="0CF98F03" w14:textId="77777777" w:rsidR="00863411" w:rsidRPr="00863411" w:rsidRDefault="00863411" w:rsidP="00863411">
      <w:pPr>
        <w:spacing w:line="360" w:lineRule="auto"/>
        <w:rPr>
          <w:lang w:val="en-US"/>
        </w:rPr>
      </w:pPr>
      <w:r w:rsidRPr="00863411">
        <w:rPr>
          <w:lang w:val="en-US"/>
        </w:rPr>
        <w:t>Urban planning experts suggest the region has entered a new phase. Gregory Randall, Georgia Tech Professor of Urban Planning, notes:</w:t>
      </w:r>
    </w:p>
    <w:p w14:paraId="5CF00F86" w14:textId="77777777" w:rsidR="00863411" w:rsidRPr="00863411" w:rsidRDefault="00863411" w:rsidP="00863411">
      <w:pPr>
        <w:numPr>
          <w:ilvl w:val="0"/>
          <w:numId w:val="39"/>
        </w:numPr>
        <w:spacing w:line="360" w:lineRule="auto"/>
        <w:rPr>
          <w:lang w:val="en-US"/>
        </w:rPr>
      </w:pPr>
      <w:r w:rsidRPr="00863411">
        <w:rPr>
          <w:lang w:val="en-US"/>
        </w:rPr>
        <w:t>Atlanta historically managed growth by expanding farther outward into low-cost land—classic “sprawl”—without matching investment in transportation infrastructure.</w:t>
      </w:r>
    </w:p>
    <w:p w14:paraId="009072AE" w14:textId="77777777" w:rsidR="00863411" w:rsidRPr="00863411" w:rsidRDefault="00863411" w:rsidP="00863411">
      <w:pPr>
        <w:numPr>
          <w:ilvl w:val="0"/>
          <w:numId w:val="39"/>
        </w:numPr>
        <w:spacing w:line="360" w:lineRule="auto"/>
        <w:rPr>
          <w:lang w:val="en-US"/>
        </w:rPr>
      </w:pPr>
      <w:r w:rsidRPr="00863411">
        <w:rPr>
          <w:lang w:val="en-US"/>
        </w:rPr>
        <w:t>That model no longer appears sustainable.</w:t>
      </w:r>
    </w:p>
    <w:p w14:paraId="408C3F5F" w14:textId="77777777" w:rsidR="00863411" w:rsidRPr="00863411" w:rsidRDefault="00863411" w:rsidP="00863411">
      <w:pPr>
        <w:numPr>
          <w:ilvl w:val="0"/>
          <w:numId w:val="39"/>
        </w:numPr>
        <w:spacing w:line="360" w:lineRule="auto"/>
        <w:rPr>
          <w:lang w:val="en-US"/>
        </w:rPr>
      </w:pPr>
      <w:r w:rsidRPr="00863411">
        <w:rPr>
          <w:lang w:val="en-US"/>
        </w:rPr>
        <w:t>“Atlanta is a radically different place than it was when the growth spurt began. The city can only continue its ascent through reinvention.”</w:t>
      </w:r>
    </w:p>
    <w:p w14:paraId="5F680843" w14:textId="77777777" w:rsidR="00863411" w:rsidRPr="00863411" w:rsidRDefault="00863411" w:rsidP="00863411">
      <w:pPr>
        <w:spacing w:line="360" w:lineRule="auto"/>
        <w:rPr>
          <w:lang w:val="en-US"/>
        </w:rPr>
      </w:pPr>
      <w:r w:rsidRPr="00863411">
        <w:rPr>
          <w:lang w:val="en-US"/>
        </w:rPr>
        <w:lastRenderedPageBreak/>
        <w:t>This shift underscores the importance of real estate professionals staying engaged in local planning and policy discussions. Industry voices will play a critical role in shaping future housing, zoning, and transportation strategies.</w:t>
      </w:r>
    </w:p>
    <w:p w14:paraId="3511D519" w14:textId="77777777" w:rsidR="00863411" w:rsidRPr="00863411" w:rsidRDefault="00851B95" w:rsidP="00863411">
      <w:pPr>
        <w:spacing w:line="360" w:lineRule="auto"/>
        <w:rPr>
          <w:lang w:val="en-US"/>
        </w:rPr>
      </w:pPr>
      <w:r w:rsidRPr="00851B95">
        <w:rPr>
          <w:b/>
          <w:bCs/>
          <w:noProof/>
          <w:lang w:val="en-US"/>
        </w:rPr>
        <w:pict w14:anchorId="25CB08C5">
          <v:rect id="_x0000_i1025" alt="" style="width:468pt;height:.05pt;mso-width-percent:0;mso-height-percent:0;mso-width-percent:0;mso-height-percent:0" o:hralign="center" o:hrstd="t" o:hr="t" fillcolor="#a0a0a0" stroked="f"/>
        </w:pict>
      </w:r>
    </w:p>
    <w:p w14:paraId="0828E2FF" w14:textId="77777777" w:rsidR="00863411" w:rsidRPr="00863411" w:rsidRDefault="00863411" w:rsidP="00863411">
      <w:pPr>
        <w:spacing w:line="360" w:lineRule="auto"/>
        <w:rPr>
          <w:lang w:val="en-US"/>
        </w:rPr>
      </w:pPr>
      <w:r w:rsidRPr="00863411">
        <w:rPr>
          <w:lang w:val="en-US"/>
        </w:rPr>
        <w:t>Accessing Market Data</w:t>
      </w:r>
    </w:p>
    <w:p w14:paraId="23990BFB" w14:textId="77777777" w:rsidR="00863411" w:rsidRPr="00863411" w:rsidRDefault="00863411" w:rsidP="00863411">
      <w:pPr>
        <w:spacing w:line="360" w:lineRule="auto"/>
        <w:rPr>
          <w:lang w:val="en-US"/>
        </w:rPr>
      </w:pPr>
      <w:r w:rsidRPr="00863411">
        <w:rPr>
          <w:lang w:val="en-US"/>
        </w:rPr>
        <w:t>For the latest insights:</w:t>
      </w:r>
    </w:p>
    <w:p w14:paraId="416D70A1" w14:textId="77777777" w:rsidR="00863411" w:rsidRPr="00863411" w:rsidRDefault="00863411" w:rsidP="00863411">
      <w:pPr>
        <w:numPr>
          <w:ilvl w:val="0"/>
          <w:numId w:val="40"/>
        </w:numPr>
        <w:spacing w:line="360" w:lineRule="auto"/>
        <w:rPr>
          <w:lang w:val="en-US"/>
        </w:rPr>
      </w:pPr>
      <w:r w:rsidRPr="00863411">
        <w:rPr>
          <w:lang w:val="en-US"/>
        </w:rPr>
        <w:t>Visit FMLS Market Intel on the FMLS website for weekly-updated market statistics, localized data, and detailed market performance tools.</w:t>
      </w:r>
    </w:p>
    <w:p w14:paraId="2A6FA9BA" w14:textId="77777777" w:rsidR="00863411" w:rsidRPr="00863411" w:rsidRDefault="00863411" w:rsidP="00863411">
      <w:pPr>
        <w:spacing w:line="360" w:lineRule="auto"/>
        <w:ind w:left="720"/>
        <w:rPr>
          <w:lang w:val="en-US"/>
        </w:rPr>
      </w:pPr>
    </w:p>
    <w:p w14:paraId="4300AB1E" w14:textId="29795780" w:rsidR="00863411" w:rsidRPr="00863411" w:rsidRDefault="00863411" w:rsidP="00863411">
      <w:pPr>
        <w:spacing w:line="360" w:lineRule="auto"/>
        <w:rPr>
          <w:lang w:val="en-US"/>
        </w:rPr>
      </w:pPr>
      <w:r w:rsidRPr="00863411">
        <w:rPr>
          <w:lang w:val="en-US"/>
        </w:rPr>
        <w:t>We provide deep resources to help real estate professionals understand evolving market dynamics and support informed client advising.</w:t>
      </w:r>
    </w:p>
    <w:p w14:paraId="456D1247" w14:textId="77777777" w:rsidR="00863411" w:rsidRPr="00863411" w:rsidRDefault="00863411" w:rsidP="00863411">
      <w:pPr>
        <w:spacing w:line="360" w:lineRule="auto"/>
        <w:rPr>
          <w:lang w:val="en-US"/>
        </w:rPr>
      </w:pPr>
    </w:p>
    <w:p w14:paraId="0BB18108" w14:textId="77777777" w:rsidR="00863411" w:rsidRPr="00863411" w:rsidRDefault="00863411" w:rsidP="00863411">
      <w:pPr>
        <w:spacing w:line="360" w:lineRule="auto"/>
        <w:rPr>
          <w:lang w:val="en-US"/>
        </w:rPr>
      </w:pPr>
      <w:r w:rsidRPr="00863411">
        <w:rPr>
          <w:lang w:val="en-US"/>
        </w:rPr>
        <w:t>Thank you for reviewing this edition of the FMLS Market Intel Report.</w:t>
      </w:r>
      <w:r w:rsidRPr="00863411">
        <w:rPr>
          <w:lang w:val="en-US"/>
        </w:rPr>
        <w:br/>
        <w:t>I’m Leslie Appleton-Young, and I’ll see you next time with more data, analysis, and forward-looking insights.</w:t>
      </w:r>
    </w:p>
    <w:p w14:paraId="13D5CED1" w14:textId="04630730" w:rsidR="00863411" w:rsidRPr="00A148EA" w:rsidRDefault="00863411" w:rsidP="00A148EA">
      <w:pPr>
        <w:spacing w:line="360" w:lineRule="auto"/>
        <w:rPr>
          <w:b/>
          <w:bCs/>
          <w:lang w:val="en-US"/>
        </w:rPr>
      </w:pPr>
    </w:p>
    <w:sectPr w:rsidR="00863411" w:rsidRPr="00A148E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720CC" w14:textId="77777777" w:rsidR="00851B95" w:rsidRDefault="00851B95" w:rsidP="00922A2B">
      <w:pPr>
        <w:spacing w:line="240" w:lineRule="auto"/>
      </w:pPr>
      <w:r>
        <w:separator/>
      </w:r>
    </w:p>
  </w:endnote>
  <w:endnote w:type="continuationSeparator" w:id="0">
    <w:p w14:paraId="7707B762" w14:textId="77777777" w:rsidR="00851B95" w:rsidRDefault="00851B95" w:rsidP="00922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81ABB" w14:textId="77777777" w:rsidR="00851B95" w:rsidRDefault="00851B95" w:rsidP="00922A2B">
      <w:pPr>
        <w:spacing w:line="240" w:lineRule="auto"/>
      </w:pPr>
      <w:r>
        <w:separator/>
      </w:r>
    </w:p>
  </w:footnote>
  <w:footnote w:type="continuationSeparator" w:id="0">
    <w:p w14:paraId="3D551726" w14:textId="77777777" w:rsidR="00851B95" w:rsidRDefault="00851B95" w:rsidP="00922A2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57D55"/>
    <w:multiLevelType w:val="multilevel"/>
    <w:tmpl w:val="DBB2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65CEF"/>
    <w:multiLevelType w:val="multilevel"/>
    <w:tmpl w:val="FEC67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3387C"/>
    <w:multiLevelType w:val="multilevel"/>
    <w:tmpl w:val="69B26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B3204"/>
    <w:multiLevelType w:val="multilevel"/>
    <w:tmpl w:val="E00A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313885"/>
    <w:multiLevelType w:val="multilevel"/>
    <w:tmpl w:val="26AA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16737"/>
    <w:multiLevelType w:val="multilevel"/>
    <w:tmpl w:val="E8A6A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32577"/>
    <w:multiLevelType w:val="multilevel"/>
    <w:tmpl w:val="E07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8279BD"/>
    <w:multiLevelType w:val="multilevel"/>
    <w:tmpl w:val="35CC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46D1D"/>
    <w:multiLevelType w:val="multilevel"/>
    <w:tmpl w:val="9D12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C262E4"/>
    <w:multiLevelType w:val="multilevel"/>
    <w:tmpl w:val="34EE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E76B9"/>
    <w:multiLevelType w:val="multilevel"/>
    <w:tmpl w:val="D18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24230"/>
    <w:multiLevelType w:val="multilevel"/>
    <w:tmpl w:val="D914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34BE8"/>
    <w:multiLevelType w:val="multilevel"/>
    <w:tmpl w:val="7FCC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D2C1F"/>
    <w:multiLevelType w:val="multilevel"/>
    <w:tmpl w:val="B344E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222BA"/>
    <w:multiLevelType w:val="multilevel"/>
    <w:tmpl w:val="DA44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82B07"/>
    <w:multiLevelType w:val="multilevel"/>
    <w:tmpl w:val="D2709C86"/>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299C0970"/>
    <w:multiLevelType w:val="multilevel"/>
    <w:tmpl w:val="63F0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440E77"/>
    <w:multiLevelType w:val="multilevel"/>
    <w:tmpl w:val="54C8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6D48E2"/>
    <w:multiLevelType w:val="multilevel"/>
    <w:tmpl w:val="90A8F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506CB3"/>
    <w:multiLevelType w:val="multilevel"/>
    <w:tmpl w:val="A530A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895944"/>
    <w:multiLevelType w:val="multilevel"/>
    <w:tmpl w:val="B15A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252D5B"/>
    <w:multiLevelType w:val="multilevel"/>
    <w:tmpl w:val="948C6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9C0959"/>
    <w:multiLevelType w:val="multilevel"/>
    <w:tmpl w:val="AEBC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ED1677"/>
    <w:multiLevelType w:val="multilevel"/>
    <w:tmpl w:val="3432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1A1879"/>
    <w:multiLevelType w:val="multilevel"/>
    <w:tmpl w:val="33C0B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60E39"/>
    <w:multiLevelType w:val="multilevel"/>
    <w:tmpl w:val="84BC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2C4AE6"/>
    <w:multiLevelType w:val="multilevel"/>
    <w:tmpl w:val="42448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12820"/>
    <w:multiLevelType w:val="multilevel"/>
    <w:tmpl w:val="0A7C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23AE6"/>
    <w:multiLevelType w:val="multilevel"/>
    <w:tmpl w:val="AEE4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C50796"/>
    <w:multiLevelType w:val="multilevel"/>
    <w:tmpl w:val="65C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D1749"/>
    <w:multiLevelType w:val="multilevel"/>
    <w:tmpl w:val="F148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CD053B"/>
    <w:multiLevelType w:val="multilevel"/>
    <w:tmpl w:val="BAE8F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66FB3"/>
    <w:multiLevelType w:val="multilevel"/>
    <w:tmpl w:val="C82A6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57D00"/>
    <w:multiLevelType w:val="multilevel"/>
    <w:tmpl w:val="97EC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3F2B5C"/>
    <w:multiLevelType w:val="multilevel"/>
    <w:tmpl w:val="349A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F06DF"/>
    <w:multiLevelType w:val="multilevel"/>
    <w:tmpl w:val="7648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33780B"/>
    <w:multiLevelType w:val="multilevel"/>
    <w:tmpl w:val="02B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EC4079"/>
    <w:multiLevelType w:val="multilevel"/>
    <w:tmpl w:val="385A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4064E0"/>
    <w:multiLevelType w:val="multilevel"/>
    <w:tmpl w:val="4916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814023"/>
    <w:multiLevelType w:val="multilevel"/>
    <w:tmpl w:val="8312B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068118">
    <w:abstractNumId w:val="19"/>
  </w:num>
  <w:num w:numId="2" w16cid:durableId="1070619644">
    <w:abstractNumId w:val="17"/>
  </w:num>
  <w:num w:numId="3" w16cid:durableId="502085978">
    <w:abstractNumId w:val="22"/>
  </w:num>
  <w:num w:numId="4" w16cid:durableId="29694018">
    <w:abstractNumId w:val="38"/>
  </w:num>
  <w:num w:numId="5" w16cid:durableId="1912275878">
    <w:abstractNumId w:val="28"/>
  </w:num>
  <w:num w:numId="6" w16cid:durableId="546526850">
    <w:abstractNumId w:val="7"/>
  </w:num>
  <w:num w:numId="7" w16cid:durableId="816187804">
    <w:abstractNumId w:val="39"/>
  </w:num>
  <w:num w:numId="8" w16cid:durableId="30814078">
    <w:abstractNumId w:val="34"/>
  </w:num>
  <w:num w:numId="9" w16cid:durableId="1033725545">
    <w:abstractNumId w:val="11"/>
  </w:num>
  <w:num w:numId="10" w16cid:durableId="892303162">
    <w:abstractNumId w:val="15"/>
  </w:num>
  <w:num w:numId="11" w16cid:durableId="1231622416">
    <w:abstractNumId w:val="24"/>
  </w:num>
  <w:num w:numId="12" w16cid:durableId="1215655984">
    <w:abstractNumId w:val="20"/>
  </w:num>
  <w:num w:numId="13" w16cid:durableId="377122985">
    <w:abstractNumId w:val="13"/>
  </w:num>
  <w:num w:numId="14" w16cid:durableId="388385613">
    <w:abstractNumId w:val="9"/>
  </w:num>
  <w:num w:numId="15" w16cid:durableId="209388184">
    <w:abstractNumId w:val="29"/>
  </w:num>
  <w:num w:numId="16" w16cid:durableId="1106731256">
    <w:abstractNumId w:val="18"/>
  </w:num>
  <w:num w:numId="17" w16cid:durableId="411899581">
    <w:abstractNumId w:val="23"/>
  </w:num>
  <w:num w:numId="18" w16cid:durableId="2019771815">
    <w:abstractNumId w:val="5"/>
  </w:num>
  <w:num w:numId="19" w16cid:durableId="1066337872">
    <w:abstractNumId w:val="32"/>
  </w:num>
  <w:num w:numId="20" w16cid:durableId="42605532">
    <w:abstractNumId w:val="30"/>
  </w:num>
  <w:num w:numId="21" w16cid:durableId="1590117394">
    <w:abstractNumId w:val="0"/>
  </w:num>
  <w:num w:numId="22" w16cid:durableId="1351877271">
    <w:abstractNumId w:val="14"/>
  </w:num>
  <w:num w:numId="23" w16cid:durableId="793404155">
    <w:abstractNumId w:val="8"/>
  </w:num>
  <w:num w:numId="24" w16cid:durableId="1482310470">
    <w:abstractNumId w:val="1"/>
  </w:num>
  <w:num w:numId="25" w16cid:durableId="1147356796">
    <w:abstractNumId w:val="12"/>
  </w:num>
  <w:num w:numId="26" w16cid:durableId="1257404179">
    <w:abstractNumId w:val="31"/>
  </w:num>
  <w:num w:numId="27" w16cid:durableId="1963532251">
    <w:abstractNumId w:val="10"/>
  </w:num>
  <w:num w:numId="28" w16cid:durableId="1109395931">
    <w:abstractNumId w:val="33"/>
  </w:num>
  <w:num w:numId="29" w16cid:durableId="2040279358">
    <w:abstractNumId w:val="6"/>
  </w:num>
  <w:num w:numId="30" w16cid:durableId="346442113">
    <w:abstractNumId w:val="26"/>
  </w:num>
  <w:num w:numId="31" w16cid:durableId="426579251">
    <w:abstractNumId w:val="3"/>
  </w:num>
  <w:num w:numId="32" w16cid:durableId="1037897360">
    <w:abstractNumId w:val="21"/>
  </w:num>
  <w:num w:numId="33" w16cid:durableId="349375336">
    <w:abstractNumId w:val="4"/>
  </w:num>
  <w:num w:numId="34" w16cid:durableId="747732488">
    <w:abstractNumId w:val="27"/>
  </w:num>
  <w:num w:numId="35" w16cid:durableId="1925064898">
    <w:abstractNumId w:val="25"/>
  </w:num>
  <w:num w:numId="36" w16cid:durableId="2108185304">
    <w:abstractNumId w:val="2"/>
  </w:num>
  <w:num w:numId="37" w16cid:durableId="1170366109">
    <w:abstractNumId w:val="36"/>
  </w:num>
  <w:num w:numId="38" w16cid:durableId="1380594249">
    <w:abstractNumId w:val="37"/>
  </w:num>
  <w:num w:numId="39" w16cid:durableId="1467357636">
    <w:abstractNumId w:val="35"/>
  </w:num>
  <w:num w:numId="40" w16cid:durableId="17377822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60"/>
    <w:rsid w:val="0000794B"/>
    <w:rsid w:val="000175C2"/>
    <w:rsid w:val="00037DED"/>
    <w:rsid w:val="00055C13"/>
    <w:rsid w:val="000642B4"/>
    <w:rsid w:val="0007265C"/>
    <w:rsid w:val="0008562E"/>
    <w:rsid w:val="000A5F68"/>
    <w:rsid w:val="000A71B8"/>
    <w:rsid w:val="000E01FA"/>
    <w:rsid w:val="000F45E9"/>
    <w:rsid w:val="000F7D49"/>
    <w:rsid w:val="00101103"/>
    <w:rsid w:val="001344A4"/>
    <w:rsid w:val="00177531"/>
    <w:rsid w:val="001A2405"/>
    <w:rsid w:val="001A531B"/>
    <w:rsid w:val="001B093F"/>
    <w:rsid w:val="001D5AEC"/>
    <w:rsid w:val="002B697E"/>
    <w:rsid w:val="002C05C5"/>
    <w:rsid w:val="002E3A53"/>
    <w:rsid w:val="00327533"/>
    <w:rsid w:val="003365E6"/>
    <w:rsid w:val="003447E0"/>
    <w:rsid w:val="003C5EFA"/>
    <w:rsid w:val="003C7A9B"/>
    <w:rsid w:val="003D1F4D"/>
    <w:rsid w:val="00401117"/>
    <w:rsid w:val="0049646D"/>
    <w:rsid w:val="004E0136"/>
    <w:rsid w:val="00512D2E"/>
    <w:rsid w:val="00532247"/>
    <w:rsid w:val="005A0DB9"/>
    <w:rsid w:val="005B37A5"/>
    <w:rsid w:val="005F2840"/>
    <w:rsid w:val="00615BAB"/>
    <w:rsid w:val="00624612"/>
    <w:rsid w:val="00693215"/>
    <w:rsid w:val="006C24A9"/>
    <w:rsid w:val="006C4168"/>
    <w:rsid w:val="006C7AF8"/>
    <w:rsid w:val="00721809"/>
    <w:rsid w:val="007A120E"/>
    <w:rsid w:val="007E6574"/>
    <w:rsid w:val="007F49DD"/>
    <w:rsid w:val="00851B95"/>
    <w:rsid w:val="00863411"/>
    <w:rsid w:val="008A6493"/>
    <w:rsid w:val="008B39AB"/>
    <w:rsid w:val="008B4DB8"/>
    <w:rsid w:val="008D76DB"/>
    <w:rsid w:val="008E3714"/>
    <w:rsid w:val="00922A2B"/>
    <w:rsid w:val="009336A7"/>
    <w:rsid w:val="009376FD"/>
    <w:rsid w:val="009626D1"/>
    <w:rsid w:val="009810FD"/>
    <w:rsid w:val="009D4F6C"/>
    <w:rsid w:val="00A142EA"/>
    <w:rsid w:val="00A148EA"/>
    <w:rsid w:val="00AC645E"/>
    <w:rsid w:val="00B01D81"/>
    <w:rsid w:val="00B3724F"/>
    <w:rsid w:val="00B40110"/>
    <w:rsid w:val="00B578E6"/>
    <w:rsid w:val="00B641B7"/>
    <w:rsid w:val="00BA2D52"/>
    <w:rsid w:val="00BB6C87"/>
    <w:rsid w:val="00BC74AB"/>
    <w:rsid w:val="00BD534C"/>
    <w:rsid w:val="00BD6CAB"/>
    <w:rsid w:val="00C21649"/>
    <w:rsid w:val="00C23F37"/>
    <w:rsid w:val="00C30A33"/>
    <w:rsid w:val="00C3799D"/>
    <w:rsid w:val="00C515B7"/>
    <w:rsid w:val="00C757E8"/>
    <w:rsid w:val="00CD2F52"/>
    <w:rsid w:val="00CF20B3"/>
    <w:rsid w:val="00D02F2D"/>
    <w:rsid w:val="00D24CA0"/>
    <w:rsid w:val="00D31972"/>
    <w:rsid w:val="00D347D4"/>
    <w:rsid w:val="00D5401F"/>
    <w:rsid w:val="00D62BBC"/>
    <w:rsid w:val="00D8157F"/>
    <w:rsid w:val="00DF7DA7"/>
    <w:rsid w:val="00E05160"/>
    <w:rsid w:val="00EA08FD"/>
    <w:rsid w:val="00EB2693"/>
    <w:rsid w:val="00EC79EF"/>
    <w:rsid w:val="00F65ACF"/>
    <w:rsid w:val="00FC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E4AE0"/>
  <w15:docId w15:val="{F30B574D-9D11-4143-BB19-4E711FF2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22A2B"/>
    <w:pPr>
      <w:tabs>
        <w:tab w:val="center" w:pos="4680"/>
        <w:tab w:val="right" w:pos="9360"/>
      </w:tabs>
      <w:spacing w:line="240" w:lineRule="auto"/>
    </w:pPr>
  </w:style>
  <w:style w:type="character" w:customStyle="1" w:styleId="HeaderChar">
    <w:name w:val="Header Char"/>
    <w:basedOn w:val="DefaultParagraphFont"/>
    <w:link w:val="Header"/>
    <w:uiPriority w:val="99"/>
    <w:rsid w:val="00922A2B"/>
  </w:style>
  <w:style w:type="paragraph" w:styleId="Footer">
    <w:name w:val="footer"/>
    <w:basedOn w:val="Normal"/>
    <w:link w:val="FooterChar"/>
    <w:uiPriority w:val="99"/>
    <w:unhideWhenUsed/>
    <w:rsid w:val="00922A2B"/>
    <w:pPr>
      <w:tabs>
        <w:tab w:val="center" w:pos="4680"/>
        <w:tab w:val="right" w:pos="9360"/>
      </w:tabs>
      <w:spacing w:line="240" w:lineRule="auto"/>
    </w:pPr>
  </w:style>
  <w:style w:type="character" w:customStyle="1" w:styleId="FooterChar">
    <w:name w:val="Footer Char"/>
    <w:basedOn w:val="DefaultParagraphFont"/>
    <w:link w:val="Footer"/>
    <w:uiPriority w:val="99"/>
    <w:rsid w:val="00922A2B"/>
  </w:style>
  <w:style w:type="paragraph" w:styleId="ListParagraph">
    <w:name w:val="List Paragraph"/>
    <w:basedOn w:val="Normal"/>
    <w:uiPriority w:val="34"/>
    <w:qFormat/>
    <w:rsid w:val="00037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9638">
      <w:bodyDiv w:val="1"/>
      <w:marLeft w:val="0"/>
      <w:marRight w:val="0"/>
      <w:marTop w:val="0"/>
      <w:marBottom w:val="0"/>
      <w:divBdr>
        <w:top w:val="none" w:sz="0" w:space="0" w:color="auto"/>
        <w:left w:val="none" w:sz="0" w:space="0" w:color="auto"/>
        <w:bottom w:val="none" w:sz="0" w:space="0" w:color="auto"/>
        <w:right w:val="none" w:sz="0" w:space="0" w:color="auto"/>
      </w:divBdr>
      <w:divsChild>
        <w:div w:id="34409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341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933012">
      <w:bodyDiv w:val="1"/>
      <w:marLeft w:val="0"/>
      <w:marRight w:val="0"/>
      <w:marTop w:val="0"/>
      <w:marBottom w:val="0"/>
      <w:divBdr>
        <w:top w:val="none" w:sz="0" w:space="0" w:color="auto"/>
        <w:left w:val="none" w:sz="0" w:space="0" w:color="auto"/>
        <w:bottom w:val="none" w:sz="0" w:space="0" w:color="auto"/>
        <w:right w:val="none" w:sz="0" w:space="0" w:color="auto"/>
      </w:divBdr>
    </w:div>
    <w:div w:id="108621456">
      <w:bodyDiv w:val="1"/>
      <w:marLeft w:val="0"/>
      <w:marRight w:val="0"/>
      <w:marTop w:val="0"/>
      <w:marBottom w:val="0"/>
      <w:divBdr>
        <w:top w:val="none" w:sz="0" w:space="0" w:color="auto"/>
        <w:left w:val="none" w:sz="0" w:space="0" w:color="auto"/>
        <w:bottom w:val="none" w:sz="0" w:space="0" w:color="auto"/>
        <w:right w:val="none" w:sz="0" w:space="0" w:color="auto"/>
      </w:divBdr>
    </w:div>
    <w:div w:id="156577559">
      <w:bodyDiv w:val="1"/>
      <w:marLeft w:val="0"/>
      <w:marRight w:val="0"/>
      <w:marTop w:val="0"/>
      <w:marBottom w:val="0"/>
      <w:divBdr>
        <w:top w:val="none" w:sz="0" w:space="0" w:color="auto"/>
        <w:left w:val="none" w:sz="0" w:space="0" w:color="auto"/>
        <w:bottom w:val="none" w:sz="0" w:space="0" w:color="auto"/>
        <w:right w:val="none" w:sz="0" w:space="0" w:color="auto"/>
      </w:divBdr>
      <w:divsChild>
        <w:div w:id="421074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60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89647">
      <w:bodyDiv w:val="1"/>
      <w:marLeft w:val="0"/>
      <w:marRight w:val="0"/>
      <w:marTop w:val="0"/>
      <w:marBottom w:val="0"/>
      <w:divBdr>
        <w:top w:val="none" w:sz="0" w:space="0" w:color="auto"/>
        <w:left w:val="none" w:sz="0" w:space="0" w:color="auto"/>
        <w:bottom w:val="none" w:sz="0" w:space="0" w:color="auto"/>
        <w:right w:val="none" w:sz="0" w:space="0" w:color="auto"/>
      </w:divBdr>
      <w:divsChild>
        <w:div w:id="669525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867112">
      <w:bodyDiv w:val="1"/>
      <w:marLeft w:val="0"/>
      <w:marRight w:val="0"/>
      <w:marTop w:val="0"/>
      <w:marBottom w:val="0"/>
      <w:divBdr>
        <w:top w:val="none" w:sz="0" w:space="0" w:color="auto"/>
        <w:left w:val="none" w:sz="0" w:space="0" w:color="auto"/>
        <w:bottom w:val="none" w:sz="0" w:space="0" w:color="auto"/>
        <w:right w:val="none" w:sz="0" w:space="0" w:color="auto"/>
      </w:divBdr>
    </w:div>
    <w:div w:id="402871769">
      <w:bodyDiv w:val="1"/>
      <w:marLeft w:val="0"/>
      <w:marRight w:val="0"/>
      <w:marTop w:val="0"/>
      <w:marBottom w:val="0"/>
      <w:divBdr>
        <w:top w:val="none" w:sz="0" w:space="0" w:color="auto"/>
        <w:left w:val="none" w:sz="0" w:space="0" w:color="auto"/>
        <w:bottom w:val="none" w:sz="0" w:space="0" w:color="auto"/>
        <w:right w:val="none" w:sz="0" w:space="0" w:color="auto"/>
      </w:divBdr>
    </w:div>
    <w:div w:id="429202179">
      <w:bodyDiv w:val="1"/>
      <w:marLeft w:val="0"/>
      <w:marRight w:val="0"/>
      <w:marTop w:val="0"/>
      <w:marBottom w:val="0"/>
      <w:divBdr>
        <w:top w:val="none" w:sz="0" w:space="0" w:color="auto"/>
        <w:left w:val="none" w:sz="0" w:space="0" w:color="auto"/>
        <w:bottom w:val="none" w:sz="0" w:space="0" w:color="auto"/>
        <w:right w:val="none" w:sz="0" w:space="0" w:color="auto"/>
      </w:divBdr>
      <w:divsChild>
        <w:div w:id="16371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2939859">
      <w:bodyDiv w:val="1"/>
      <w:marLeft w:val="0"/>
      <w:marRight w:val="0"/>
      <w:marTop w:val="0"/>
      <w:marBottom w:val="0"/>
      <w:divBdr>
        <w:top w:val="none" w:sz="0" w:space="0" w:color="auto"/>
        <w:left w:val="none" w:sz="0" w:space="0" w:color="auto"/>
        <w:bottom w:val="none" w:sz="0" w:space="0" w:color="auto"/>
        <w:right w:val="none" w:sz="0" w:space="0" w:color="auto"/>
      </w:divBdr>
    </w:div>
    <w:div w:id="585237484">
      <w:bodyDiv w:val="1"/>
      <w:marLeft w:val="0"/>
      <w:marRight w:val="0"/>
      <w:marTop w:val="0"/>
      <w:marBottom w:val="0"/>
      <w:divBdr>
        <w:top w:val="none" w:sz="0" w:space="0" w:color="auto"/>
        <w:left w:val="none" w:sz="0" w:space="0" w:color="auto"/>
        <w:bottom w:val="none" w:sz="0" w:space="0" w:color="auto"/>
        <w:right w:val="none" w:sz="0" w:space="0" w:color="auto"/>
      </w:divBdr>
      <w:divsChild>
        <w:div w:id="449669631">
          <w:blockQuote w:val="1"/>
          <w:marLeft w:val="720"/>
          <w:marRight w:val="720"/>
          <w:marTop w:val="100"/>
          <w:marBottom w:val="100"/>
          <w:divBdr>
            <w:top w:val="none" w:sz="0" w:space="0" w:color="auto"/>
            <w:left w:val="none" w:sz="0" w:space="0" w:color="auto"/>
            <w:bottom w:val="none" w:sz="0" w:space="0" w:color="auto"/>
            <w:right w:val="none" w:sz="0" w:space="0" w:color="auto"/>
          </w:divBdr>
        </w:div>
        <w:div w:id="24407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35657">
      <w:bodyDiv w:val="1"/>
      <w:marLeft w:val="0"/>
      <w:marRight w:val="0"/>
      <w:marTop w:val="0"/>
      <w:marBottom w:val="0"/>
      <w:divBdr>
        <w:top w:val="none" w:sz="0" w:space="0" w:color="auto"/>
        <w:left w:val="none" w:sz="0" w:space="0" w:color="auto"/>
        <w:bottom w:val="none" w:sz="0" w:space="0" w:color="auto"/>
        <w:right w:val="none" w:sz="0" w:space="0" w:color="auto"/>
      </w:divBdr>
      <w:divsChild>
        <w:div w:id="560099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425980">
      <w:bodyDiv w:val="1"/>
      <w:marLeft w:val="0"/>
      <w:marRight w:val="0"/>
      <w:marTop w:val="0"/>
      <w:marBottom w:val="0"/>
      <w:divBdr>
        <w:top w:val="none" w:sz="0" w:space="0" w:color="auto"/>
        <w:left w:val="none" w:sz="0" w:space="0" w:color="auto"/>
        <w:bottom w:val="none" w:sz="0" w:space="0" w:color="auto"/>
        <w:right w:val="none" w:sz="0" w:space="0" w:color="auto"/>
      </w:divBdr>
    </w:div>
    <w:div w:id="748498721">
      <w:bodyDiv w:val="1"/>
      <w:marLeft w:val="0"/>
      <w:marRight w:val="0"/>
      <w:marTop w:val="0"/>
      <w:marBottom w:val="0"/>
      <w:divBdr>
        <w:top w:val="none" w:sz="0" w:space="0" w:color="auto"/>
        <w:left w:val="none" w:sz="0" w:space="0" w:color="auto"/>
        <w:bottom w:val="none" w:sz="0" w:space="0" w:color="auto"/>
        <w:right w:val="none" w:sz="0" w:space="0" w:color="auto"/>
      </w:divBdr>
    </w:div>
    <w:div w:id="861671377">
      <w:bodyDiv w:val="1"/>
      <w:marLeft w:val="0"/>
      <w:marRight w:val="0"/>
      <w:marTop w:val="0"/>
      <w:marBottom w:val="0"/>
      <w:divBdr>
        <w:top w:val="none" w:sz="0" w:space="0" w:color="auto"/>
        <w:left w:val="none" w:sz="0" w:space="0" w:color="auto"/>
        <w:bottom w:val="none" w:sz="0" w:space="0" w:color="auto"/>
        <w:right w:val="none" w:sz="0" w:space="0" w:color="auto"/>
      </w:divBdr>
    </w:div>
    <w:div w:id="958031234">
      <w:bodyDiv w:val="1"/>
      <w:marLeft w:val="0"/>
      <w:marRight w:val="0"/>
      <w:marTop w:val="0"/>
      <w:marBottom w:val="0"/>
      <w:divBdr>
        <w:top w:val="none" w:sz="0" w:space="0" w:color="auto"/>
        <w:left w:val="none" w:sz="0" w:space="0" w:color="auto"/>
        <w:bottom w:val="none" w:sz="0" w:space="0" w:color="auto"/>
        <w:right w:val="none" w:sz="0" w:space="0" w:color="auto"/>
      </w:divBdr>
    </w:div>
    <w:div w:id="1057556271">
      <w:bodyDiv w:val="1"/>
      <w:marLeft w:val="0"/>
      <w:marRight w:val="0"/>
      <w:marTop w:val="0"/>
      <w:marBottom w:val="0"/>
      <w:divBdr>
        <w:top w:val="none" w:sz="0" w:space="0" w:color="auto"/>
        <w:left w:val="none" w:sz="0" w:space="0" w:color="auto"/>
        <w:bottom w:val="none" w:sz="0" w:space="0" w:color="auto"/>
        <w:right w:val="none" w:sz="0" w:space="0" w:color="auto"/>
      </w:divBdr>
    </w:div>
    <w:div w:id="1074858125">
      <w:bodyDiv w:val="1"/>
      <w:marLeft w:val="0"/>
      <w:marRight w:val="0"/>
      <w:marTop w:val="0"/>
      <w:marBottom w:val="0"/>
      <w:divBdr>
        <w:top w:val="none" w:sz="0" w:space="0" w:color="auto"/>
        <w:left w:val="none" w:sz="0" w:space="0" w:color="auto"/>
        <w:bottom w:val="none" w:sz="0" w:space="0" w:color="auto"/>
        <w:right w:val="none" w:sz="0" w:space="0" w:color="auto"/>
      </w:divBdr>
      <w:divsChild>
        <w:div w:id="1918859507">
          <w:marLeft w:val="0"/>
          <w:marRight w:val="0"/>
          <w:marTop w:val="0"/>
          <w:marBottom w:val="0"/>
          <w:divBdr>
            <w:top w:val="none" w:sz="0" w:space="0" w:color="auto"/>
            <w:left w:val="none" w:sz="0" w:space="0" w:color="auto"/>
            <w:bottom w:val="none" w:sz="0" w:space="0" w:color="auto"/>
            <w:right w:val="none" w:sz="0" w:space="0" w:color="auto"/>
          </w:divBdr>
          <w:divsChild>
            <w:div w:id="1346328191">
              <w:marLeft w:val="0"/>
              <w:marRight w:val="0"/>
              <w:marTop w:val="0"/>
              <w:marBottom w:val="0"/>
              <w:divBdr>
                <w:top w:val="none" w:sz="0" w:space="0" w:color="auto"/>
                <w:left w:val="none" w:sz="0" w:space="0" w:color="auto"/>
                <w:bottom w:val="none" w:sz="0" w:space="0" w:color="auto"/>
                <w:right w:val="none" w:sz="0" w:space="0" w:color="auto"/>
              </w:divBdr>
            </w:div>
          </w:divsChild>
        </w:div>
        <w:div w:id="208530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3812421">
      <w:bodyDiv w:val="1"/>
      <w:marLeft w:val="0"/>
      <w:marRight w:val="0"/>
      <w:marTop w:val="0"/>
      <w:marBottom w:val="0"/>
      <w:divBdr>
        <w:top w:val="none" w:sz="0" w:space="0" w:color="auto"/>
        <w:left w:val="none" w:sz="0" w:space="0" w:color="auto"/>
        <w:bottom w:val="none" w:sz="0" w:space="0" w:color="auto"/>
        <w:right w:val="none" w:sz="0" w:space="0" w:color="auto"/>
      </w:divBdr>
      <w:divsChild>
        <w:div w:id="1973510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4069">
      <w:bodyDiv w:val="1"/>
      <w:marLeft w:val="0"/>
      <w:marRight w:val="0"/>
      <w:marTop w:val="0"/>
      <w:marBottom w:val="0"/>
      <w:divBdr>
        <w:top w:val="none" w:sz="0" w:space="0" w:color="auto"/>
        <w:left w:val="none" w:sz="0" w:space="0" w:color="auto"/>
        <w:bottom w:val="none" w:sz="0" w:space="0" w:color="auto"/>
        <w:right w:val="none" w:sz="0" w:space="0" w:color="auto"/>
      </w:divBdr>
      <w:divsChild>
        <w:div w:id="175660850">
          <w:marLeft w:val="0"/>
          <w:marRight w:val="0"/>
          <w:marTop w:val="0"/>
          <w:marBottom w:val="0"/>
          <w:divBdr>
            <w:top w:val="none" w:sz="0" w:space="0" w:color="auto"/>
            <w:left w:val="none" w:sz="0" w:space="0" w:color="auto"/>
            <w:bottom w:val="none" w:sz="0" w:space="0" w:color="auto"/>
            <w:right w:val="none" w:sz="0" w:space="0" w:color="auto"/>
          </w:divBdr>
          <w:divsChild>
            <w:div w:id="2010138979">
              <w:marLeft w:val="0"/>
              <w:marRight w:val="0"/>
              <w:marTop w:val="0"/>
              <w:marBottom w:val="0"/>
              <w:divBdr>
                <w:top w:val="none" w:sz="0" w:space="0" w:color="auto"/>
                <w:left w:val="none" w:sz="0" w:space="0" w:color="auto"/>
                <w:bottom w:val="none" w:sz="0" w:space="0" w:color="auto"/>
                <w:right w:val="none" w:sz="0" w:space="0" w:color="auto"/>
              </w:divBdr>
            </w:div>
          </w:divsChild>
        </w:div>
        <w:div w:id="1405639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000697">
      <w:bodyDiv w:val="1"/>
      <w:marLeft w:val="0"/>
      <w:marRight w:val="0"/>
      <w:marTop w:val="0"/>
      <w:marBottom w:val="0"/>
      <w:divBdr>
        <w:top w:val="none" w:sz="0" w:space="0" w:color="auto"/>
        <w:left w:val="none" w:sz="0" w:space="0" w:color="auto"/>
        <w:bottom w:val="none" w:sz="0" w:space="0" w:color="auto"/>
        <w:right w:val="none" w:sz="0" w:space="0" w:color="auto"/>
      </w:divBdr>
      <w:divsChild>
        <w:div w:id="17212467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5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887473">
      <w:bodyDiv w:val="1"/>
      <w:marLeft w:val="0"/>
      <w:marRight w:val="0"/>
      <w:marTop w:val="0"/>
      <w:marBottom w:val="0"/>
      <w:divBdr>
        <w:top w:val="none" w:sz="0" w:space="0" w:color="auto"/>
        <w:left w:val="none" w:sz="0" w:space="0" w:color="auto"/>
        <w:bottom w:val="none" w:sz="0" w:space="0" w:color="auto"/>
        <w:right w:val="none" w:sz="0" w:space="0" w:color="auto"/>
      </w:divBdr>
    </w:div>
    <w:div w:id="1409769006">
      <w:bodyDiv w:val="1"/>
      <w:marLeft w:val="0"/>
      <w:marRight w:val="0"/>
      <w:marTop w:val="0"/>
      <w:marBottom w:val="0"/>
      <w:divBdr>
        <w:top w:val="none" w:sz="0" w:space="0" w:color="auto"/>
        <w:left w:val="none" w:sz="0" w:space="0" w:color="auto"/>
        <w:bottom w:val="none" w:sz="0" w:space="0" w:color="auto"/>
        <w:right w:val="none" w:sz="0" w:space="0" w:color="auto"/>
      </w:divBdr>
      <w:divsChild>
        <w:div w:id="59501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515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2554025">
      <w:bodyDiv w:val="1"/>
      <w:marLeft w:val="0"/>
      <w:marRight w:val="0"/>
      <w:marTop w:val="0"/>
      <w:marBottom w:val="0"/>
      <w:divBdr>
        <w:top w:val="none" w:sz="0" w:space="0" w:color="auto"/>
        <w:left w:val="none" w:sz="0" w:space="0" w:color="auto"/>
        <w:bottom w:val="none" w:sz="0" w:space="0" w:color="auto"/>
        <w:right w:val="none" w:sz="0" w:space="0" w:color="auto"/>
      </w:divBdr>
    </w:div>
    <w:div w:id="1514223070">
      <w:bodyDiv w:val="1"/>
      <w:marLeft w:val="0"/>
      <w:marRight w:val="0"/>
      <w:marTop w:val="0"/>
      <w:marBottom w:val="0"/>
      <w:divBdr>
        <w:top w:val="none" w:sz="0" w:space="0" w:color="auto"/>
        <w:left w:val="none" w:sz="0" w:space="0" w:color="auto"/>
        <w:bottom w:val="none" w:sz="0" w:space="0" w:color="auto"/>
        <w:right w:val="none" w:sz="0" w:space="0" w:color="auto"/>
      </w:divBdr>
    </w:div>
    <w:div w:id="1595893414">
      <w:bodyDiv w:val="1"/>
      <w:marLeft w:val="0"/>
      <w:marRight w:val="0"/>
      <w:marTop w:val="0"/>
      <w:marBottom w:val="0"/>
      <w:divBdr>
        <w:top w:val="none" w:sz="0" w:space="0" w:color="auto"/>
        <w:left w:val="none" w:sz="0" w:space="0" w:color="auto"/>
        <w:bottom w:val="none" w:sz="0" w:space="0" w:color="auto"/>
        <w:right w:val="none" w:sz="0" w:space="0" w:color="auto"/>
      </w:divBdr>
    </w:div>
    <w:div w:id="1658996375">
      <w:bodyDiv w:val="1"/>
      <w:marLeft w:val="0"/>
      <w:marRight w:val="0"/>
      <w:marTop w:val="0"/>
      <w:marBottom w:val="0"/>
      <w:divBdr>
        <w:top w:val="none" w:sz="0" w:space="0" w:color="auto"/>
        <w:left w:val="none" w:sz="0" w:space="0" w:color="auto"/>
        <w:bottom w:val="none" w:sz="0" w:space="0" w:color="auto"/>
        <w:right w:val="none" w:sz="0" w:space="0" w:color="auto"/>
      </w:divBdr>
    </w:div>
    <w:div w:id="1773361287">
      <w:bodyDiv w:val="1"/>
      <w:marLeft w:val="0"/>
      <w:marRight w:val="0"/>
      <w:marTop w:val="0"/>
      <w:marBottom w:val="0"/>
      <w:divBdr>
        <w:top w:val="none" w:sz="0" w:space="0" w:color="auto"/>
        <w:left w:val="none" w:sz="0" w:space="0" w:color="auto"/>
        <w:bottom w:val="none" w:sz="0" w:space="0" w:color="auto"/>
        <w:right w:val="none" w:sz="0" w:space="0" w:color="auto"/>
      </w:divBdr>
    </w:div>
    <w:div w:id="1838113108">
      <w:bodyDiv w:val="1"/>
      <w:marLeft w:val="0"/>
      <w:marRight w:val="0"/>
      <w:marTop w:val="0"/>
      <w:marBottom w:val="0"/>
      <w:divBdr>
        <w:top w:val="none" w:sz="0" w:space="0" w:color="auto"/>
        <w:left w:val="none" w:sz="0" w:space="0" w:color="auto"/>
        <w:bottom w:val="none" w:sz="0" w:space="0" w:color="auto"/>
        <w:right w:val="none" w:sz="0" w:space="0" w:color="auto"/>
      </w:divBdr>
      <w:divsChild>
        <w:div w:id="1635718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37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624540">
      <w:bodyDiv w:val="1"/>
      <w:marLeft w:val="0"/>
      <w:marRight w:val="0"/>
      <w:marTop w:val="0"/>
      <w:marBottom w:val="0"/>
      <w:divBdr>
        <w:top w:val="none" w:sz="0" w:space="0" w:color="auto"/>
        <w:left w:val="none" w:sz="0" w:space="0" w:color="auto"/>
        <w:bottom w:val="none" w:sz="0" w:space="0" w:color="auto"/>
        <w:right w:val="none" w:sz="0" w:space="0" w:color="auto"/>
      </w:divBdr>
    </w:div>
    <w:div w:id="212345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Arian Garvin</cp:lastModifiedBy>
  <cp:revision>2</cp:revision>
  <dcterms:created xsi:type="dcterms:W3CDTF">2025-11-07T15:29:00Z</dcterms:created>
  <dcterms:modified xsi:type="dcterms:W3CDTF">2025-11-07T15:29:00Z</dcterms:modified>
</cp:coreProperties>
</file>